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359" w:leftChars="-171" w:firstLine="323" w:firstLineChars="101"/>
        <w:rPr>
          <w:rFonts w:ascii="黑体" w:hAnsi="Times New Roman" w:eastAsia="黑体" w:cs="Times New Roman"/>
          <w:b/>
          <w:bCs/>
          <w:spacing w:val="-20"/>
          <w:sz w:val="32"/>
          <w:szCs w:val="32"/>
        </w:rPr>
      </w:pPr>
      <w:r>
        <w:rPr>
          <w:rFonts w:hint="eastAsia" w:ascii="黑体" w:hAnsi="Times New Roman" w:eastAsia="黑体" w:cs="Times New Roman"/>
          <w:sz w:val="32"/>
          <w:szCs w:val="32"/>
        </w:rPr>
        <w:t xml:space="preserve">附件1  </w:t>
      </w:r>
    </w:p>
    <w:p>
      <w:pPr>
        <w:ind w:left="-359" w:leftChars="-171" w:firstLine="284" w:firstLineChars="101"/>
        <w:jc w:val="center"/>
        <w:rPr>
          <w:rFonts w:ascii="Times New Roman" w:hAnsi="Times New Roman" w:eastAsia="隶书" w:cs="Times New Roman"/>
          <w:b/>
          <w:bCs/>
          <w:spacing w:val="-20"/>
          <w:sz w:val="32"/>
          <w:szCs w:val="24"/>
        </w:rPr>
      </w:pPr>
    </w:p>
    <w:p>
      <w:pPr>
        <w:ind w:left="-359" w:leftChars="-171" w:firstLine="284" w:firstLineChars="101"/>
        <w:jc w:val="center"/>
        <w:rPr>
          <w:rFonts w:ascii="Times New Roman" w:hAnsi="Times New Roman" w:eastAsia="隶书" w:cs="Times New Roman"/>
          <w:b/>
          <w:bCs/>
          <w:spacing w:val="-20"/>
          <w:sz w:val="32"/>
          <w:szCs w:val="24"/>
        </w:rPr>
      </w:pPr>
    </w:p>
    <w:p>
      <w:pPr>
        <w:ind w:left="-359" w:leftChars="-171" w:firstLine="284" w:firstLineChars="101"/>
        <w:jc w:val="center"/>
        <w:rPr>
          <w:rFonts w:ascii="Times New Roman" w:hAnsi="Times New Roman" w:eastAsia="隶书" w:cs="Times New Roman"/>
          <w:b/>
          <w:bCs/>
          <w:spacing w:val="-20"/>
          <w:sz w:val="32"/>
          <w:szCs w:val="24"/>
        </w:rPr>
      </w:pPr>
    </w:p>
    <w:p>
      <w:pPr>
        <w:ind w:left="-359" w:leftChars="-171" w:firstLine="484" w:firstLineChars="101"/>
        <w:jc w:val="center"/>
        <w:outlineLvl w:val="0"/>
        <w:rPr>
          <w:rFonts w:ascii="黑体" w:hAnsi="黑体" w:eastAsia="黑体" w:cs="Times New Roman"/>
          <w:bCs/>
          <w:spacing w:val="-20"/>
          <w:sz w:val="52"/>
          <w:szCs w:val="52"/>
        </w:rPr>
      </w:pPr>
      <w:r>
        <w:rPr>
          <w:rFonts w:hint="eastAsia" w:ascii="黑体" w:hAnsi="黑体" w:eastAsia="黑体" w:cs="Times New Roman"/>
          <w:bCs/>
          <w:spacing w:val="-20"/>
          <w:sz w:val="52"/>
          <w:szCs w:val="52"/>
        </w:rPr>
        <w:t>国家级一流本科专业建设点</w:t>
      </w:r>
    </w:p>
    <w:p>
      <w:pPr>
        <w:ind w:left="-359" w:leftChars="-171" w:firstLine="525" w:firstLineChars="101"/>
        <w:jc w:val="center"/>
        <w:outlineLvl w:val="0"/>
        <w:rPr>
          <w:rFonts w:ascii="黑体" w:hAnsi="黑体" w:eastAsia="黑体" w:cs="Times New Roman"/>
          <w:bCs/>
          <w:sz w:val="52"/>
          <w:szCs w:val="52"/>
        </w:rPr>
      </w:pPr>
      <w:r>
        <w:rPr>
          <w:rFonts w:hint="eastAsia" w:ascii="黑体" w:hAnsi="黑体" w:eastAsia="黑体" w:cs="Times New Roman"/>
          <w:bCs/>
          <w:sz w:val="52"/>
          <w:szCs w:val="52"/>
        </w:rPr>
        <w:t>信息采集表</w:t>
      </w:r>
    </w:p>
    <w:p>
      <w:pPr>
        <w:rPr>
          <w:rFonts w:ascii="Times New Roman" w:hAnsi="Times New Roman" w:eastAsia="宋体" w:cs="Times New Roman"/>
          <w:sz w:val="32"/>
          <w:szCs w:val="32"/>
        </w:rPr>
      </w:pPr>
    </w:p>
    <w:p>
      <w:pPr>
        <w:rPr>
          <w:rFonts w:ascii="Times New Roman" w:hAnsi="Times New Roman" w:eastAsia="宋体" w:cs="Times New Roman"/>
          <w:sz w:val="32"/>
          <w:szCs w:val="32"/>
        </w:rPr>
      </w:pPr>
    </w:p>
    <w:p>
      <w:pPr>
        <w:rPr>
          <w:rFonts w:ascii="Times New Roman" w:hAnsi="Times New Roman" w:eastAsia="宋体" w:cs="Times New Roman"/>
          <w:sz w:val="32"/>
          <w:szCs w:val="32"/>
        </w:rPr>
      </w:pPr>
    </w:p>
    <w:p>
      <w:pPr>
        <w:ind w:firstLine="1440" w:firstLineChars="400"/>
        <w:outlineLvl w:val="0"/>
        <w:rPr>
          <w:rFonts w:ascii="Times New Roman" w:hAnsi="Times New Roman" w:eastAsia="宋体" w:cs="Times New Roman"/>
          <w:szCs w:val="24"/>
        </w:rPr>
      </w:pPr>
      <w:r>
        <w:rPr>
          <w:rFonts w:hint="eastAsia" w:ascii="Arial" w:hAnsi="Arial" w:eastAsia="楷体_GB2312" w:cs="Times New Roman"/>
          <w:sz w:val="36"/>
          <w:szCs w:val="24"/>
        </w:rPr>
        <w:t>高校名称：</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r>
        <w:rPr>
          <w:rFonts w:hint="eastAsia" w:ascii="Arial" w:hAnsi="Arial" w:eastAsia="楷体_GB2312" w:cs="Times New Roman"/>
          <w:sz w:val="36"/>
          <w:szCs w:val="24"/>
        </w:rPr>
        <w:t xml:space="preserve"> </w:t>
      </w:r>
    </w:p>
    <w:p>
      <w:pPr>
        <w:spacing w:line="720" w:lineRule="exact"/>
        <w:ind w:firstLine="1440" w:firstLineChars="400"/>
        <w:outlineLvl w:val="0"/>
        <w:rPr>
          <w:rFonts w:ascii="Arial" w:hAnsi="Arial" w:eastAsia="楷体_GB2312" w:cs="Times New Roman"/>
          <w:sz w:val="36"/>
          <w:szCs w:val="24"/>
          <w:u w:val="single"/>
        </w:rPr>
      </w:pPr>
      <w:r>
        <w:rPr>
          <w:rFonts w:hint="eastAsia" w:ascii="Arial" w:hAnsi="Arial" w:eastAsia="楷体_GB2312" w:cs="Times New Roman"/>
          <w:sz w:val="36"/>
          <w:szCs w:val="24"/>
        </w:rPr>
        <w:t>主管部门：</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p>
    <w:p>
      <w:pPr>
        <w:spacing w:line="720" w:lineRule="exact"/>
        <w:ind w:firstLine="1440" w:firstLineChars="400"/>
        <w:outlineLvl w:val="0"/>
        <w:rPr>
          <w:rFonts w:ascii="Arial" w:hAnsi="Arial" w:eastAsia="楷体_GB2312" w:cs="Times New Roman"/>
          <w:sz w:val="36"/>
          <w:szCs w:val="24"/>
          <w:u w:val="single"/>
        </w:rPr>
      </w:pPr>
      <w:r>
        <w:rPr>
          <w:rFonts w:hint="eastAsia" w:ascii="Arial" w:hAnsi="Arial" w:eastAsia="楷体_GB2312" w:cs="Times New Roman"/>
          <w:sz w:val="36"/>
          <w:szCs w:val="24"/>
        </w:rPr>
        <w:t>专业名称：</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p>
    <w:p>
      <w:pPr>
        <w:spacing w:line="720" w:lineRule="exact"/>
        <w:ind w:firstLine="1440" w:firstLineChars="400"/>
        <w:outlineLvl w:val="0"/>
        <w:rPr>
          <w:rFonts w:ascii="Arial" w:hAnsi="Arial" w:eastAsia="楷体_GB2312" w:cs="Times New Roman"/>
          <w:sz w:val="36"/>
          <w:szCs w:val="24"/>
          <w:u w:val="single"/>
        </w:rPr>
      </w:pPr>
      <w:r>
        <w:rPr>
          <w:rFonts w:hint="eastAsia" w:ascii="Arial" w:hAnsi="Arial" w:eastAsia="楷体_GB2312" w:cs="Times New Roman"/>
          <w:sz w:val="36"/>
          <w:szCs w:val="24"/>
        </w:rPr>
        <w:t>专业代码：</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p>
    <w:p>
      <w:pPr>
        <w:spacing w:line="720" w:lineRule="exact"/>
        <w:ind w:firstLine="1439" w:firstLineChars="371"/>
        <w:outlineLvl w:val="0"/>
        <w:rPr>
          <w:rFonts w:ascii="Arial" w:hAnsi="Arial" w:eastAsia="楷体_GB2312" w:cs="Times New Roman"/>
          <w:spacing w:val="14"/>
          <w:sz w:val="36"/>
          <w:szCs w:val="24"/>
          <w:u w:val="single"/>
        </w:rPr>
      </w:pPr>
      <w:r>
        <w:rPr>
          <w:rFonts w:hint="eastAsia" w:ascii="Arial" w:hAnsi="Arial" w:eastAsia="楷体_GB2312" w:cs="Times New Roman"/>
          <w:spacing w:val="14"/>
          <w:sz w:val="36"/>
          <w:szCs w:val="24"/>
        </w:rPr>
        <w:t>专业类：</w:t>
      </w:r>
      <w:r>
        <w:rPr>
          <w:rFonts w:hint="eastAsia" w:ascii="Arial" w:hAnsi="Arial" w:eastAsia="楷体_GB2312" w:cs="Times New Roman"/>
          <w:spacing w:val="14"/>
          <w:sz w:val="36"/>
          <w:szCs w:val="24"/>
          <w:u w:val="single"/>
        </w:rPr>
        <w:t xml:space="preserve"> </w:t>
      </w:r>
      <w:r>
        <w:rPr>
          <w:rFonts w:ascii="Arial" w:hAnsi="Arial" w:eastAsia="楷体_GB2312" w:cs="Times New Roman"/>
          <w:spacing w:val="14"/>
          <w:sz w:val="36"/>
          <w:szCs w:val="24"/>
          <w:u w:val="single"/>
        </w:rPr>
        <w:t xml:space="preserve">                        </w:t>
      </w:r>
    </w:p>
    <w:p>
      <w:pPr>
        <w:spacing w:line="720" w:lineRule="exact"/>
        <w:ind w:firstLine="1440" w:firstLineChars="400"/>
        <w:outlineLvl w:val="0"/>
        <w:rPr>
          <w:rFonts w:ascii="Arial" w:hAnsi="Arial" w:eastAsia="楷体_GB2312" w:cs="Times New Roman"/>
          <w:sz w:val="36"/>
          <w:szCs w:val="24"/>
          <w:u w:val="single"/>
        </w:rPr>
      </w:pPr>
      <w:r>
        <w:rPr>
          <w:rFonts w:hint="eastAsia" w:ascii="Arial" w:hAnsi="Arial" w:eastAsia="楷体_GB2312" w:cs="Times New Roman"/>
          <w:sz w:val="36"/>
          <w:szCs w:val="24"/>
        </w:rPr>
        <w:t>专业负责人：</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p>
    <w:p>
      <w:pPr>
        <w:spacing w:line="720" w:lineRule="exact"/>
        <w:ind w:firstLine="1440" w:firstLineChars="400"/>
        <w:outlineLvl w:val="0"/>
        <w:rPr>
          <w:rFonts w:ascii="Arial" w:hAnsi="Arial" w:eastAsia="楷体_GB2312" w:cs="Times New Roman"/>
          <w:sz w:val="36"/>
          <w:szCs w:val="24"/>
          <w:u w:val="single"/>
        </w:rPr>
      </w:pPr>
      <w:r>
        <w:rPr>
          <w:rFonts w:hint="eastAsia" w:ascii="Arial" w:hAnsi="Arial" w:eastAsia="楷体_GB2312" w:cs="Times New Roman"/>
          <w:sz w:val="36"/>
          <w:szCs w:val="24"/>
        </w:rPr>
        <w:t>联系电话：</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p>
    <w:p>
      <w:pPr>
        <w:spacing w:line="720" w:lineRule="exact"/>
        <w:ind w:firstLine="1760" w:firstLineChars="400"/>
        <w:rPr>
          <w:rFonts w:ascii="Arial" w:hAnsi="Arial" w:eastAsia="楷体_GB2312" w:cs="Times New Roman"/>
          <w:sz w:val="44"/>
          <w:szCs w:val="24"/>
        </w:rPr>
      </w:pPr>
    </w:p>
    <w:p>
      <w:pPr>
        <w:rPr>
          <w:rFonts w:ascii="Times New Roman" w:hAnsi="Times New Roman" w:eastAsia="宋体" w:cs="Times New Roman"/>
          <w:szCs w:val="24"/>
        </w:rPr>
      </w:pPr>
    </w:p>
    <w:p>
      <w:pPr>
        <w:jc w:val="center"/>
        <w:outlineLvl w:val="0"/>
        <w:rPr>
          <w:rFonts w:ascii="Arial" w:hAnsi="Arial" w:eastAsia="楷体_GB2312" w:cs="Times New Roman"/>
          <w:sz w:val="36"/>
          <w:szCs w:val="24"/>
        </w:rPr>
      </w:pPr>
      <w:r>
        <w:rPr>
          <w:rFonts w:hint="eastAsia" w:ascii="Arial" w:hAnsi="Arial" w:eastAsia="楷体_GB2312" w:cs="Times New Roman"/>
          <w:sz w:val="36"/>
          <w:szCs w:val="24"/>
        </w:rPr>
        <w:t>教育部高等教育司制</w:t>
      </w:r>
    </w:p>
    <w:p>
      <w:pPr>
        <w:jc w:val="center"/>
        <w:rPr>
          <w:rFonts w:ascii="Arial" w:hAnsi="Arial" w:eastAsia="楷体_GB2312" w:cs="Times New Roman"/>
          <w:sz w:val="36"/>
          <w:szCs w:val="24"/>
        </w:rPr>
      </w:pPr>
      <w:r>
        <w:rPr>
          <w:rFonts w:ascii="Arial" w:hAnsi="Arial" w:eastAsia="楷体_GB2312" w:cs="Times New Roman"/>
          <w:sz w:val="36"/>
          <w:szCs w:val="24"/>
        </w:rPr>
        <w:br w:type="page"/>
      </w:r>
    </w:p>
    <w:p>
      <w:pPr>
        <w:jc w:val="center"/>
        <w:outlineLvl w:val="0"/>
        <w:rPr>
          <w:rFonts w:ascii="黑体" w:hAnsi="Arial" w:eastAsia="黑体" w:cs="Times New Roman"/>
          <w:bCs/>
          <w:spacing w:val="100"/>
          <w:sz w:val="36"/>
          <w:szCs w:val="36"/>
        </w:rPr>
      </w:pPr>
      <w:r>
        <w:rPr>
          <w:rFonts w:hint="eastAsia" w:ascii="黑体" w:hAnsi="Arial" w:eastAsia="黑体" w:cs="Times New Roman"/>
          <w:bCs/>
          <w:spacing w:val="100"/>
          <w:sz w:val="36"/>
          <w:szCs w:val="36"/>
        </w:rPr>
        <w:t>填表说明</w:t>
      </w:r>
    </w:p>
    <w:p>
      <w:pPr>
        <w:jc w:val="center"/>
        <w:rPr>
          <w:rFonts w:ascii="仿宋_GB2312" w:hAnsi="Arial" w:eastAsia="仿宋_GB2312" w:cs="Times New Roman"/>
          <w:spacing w:val="100"/>
          <w:sz w:val="32"/>
          <w:szCs w:val="32"/>
        </w:rPr>
      </w:pPr>
    </w:p>
    <w:p>
      <w:pPr>
        <w:ind w:firstLine="640" w:firstLineChars="200"/>
        <w:rPr>
          <w:rFonts w:ascii="仿宋" w:hAnsi="仿宋" w:eastAsia="仿宋" w:cs="Times New Roman"/>
          <w:sz w:val="32"/>
          <w:szCs w:val="32"/>
        </w:rPr>
      </w:pPr>
      <w:r>
        <w:rPr>
          <w:rFonts w:hint="eastAsia" w:ascii="仿宋" w:hAnsi="仿宋" w:eastAsia="仿宋" w:cs="Times New Roman"/>
          <w:sz w:val="32"/>
          <w:szCs w:val="32"/>
        </w:rPr>
        <w:t>1.采集表填写内容必须实事求是，表达准确严谨。填报内容不得有空缺项，如无内容应填“无”。</w:t>
      </w:r>
    </w:p>
    <w:p>
      <w:pPr>
        <w:ind w:firstLine="640" w:firstLineChars="200"/>
        <w:rPr>
          <w:rFonts w:ascii="仿宋" w:hAnsi="仿宋" w:eastAsia="仿宋" w:cs="Times New Roman"/>
          <w:sz w:val="32"/>
          <w:szCs w:val="32"/>
        </w:rPr>
      </w:pPr>
      <w:r>
        <w:rPr>
          <w:rFonts w:hint="eastAsia" w:ascii="仿宋" w:hAnsi="仿宋" w:eastAsia="仿宋" w:cs="Times New Roman"/>
          <w:sz w:val="32"/>
          <w:szCs w:val="32"/>
        </w:rPr>
        <w:t>2.采集表须在</w:t>
      </w:r>
      <w:r>
        <w:rPr>
          <w:rFonts w:ascii="仿宋" w:hAnsi="仿宋" w:eastAsia="仿宋" w:cs="Times New Roman"/>
          <w:sz w:val="32"/>
          <w:szCs w:val="32"/>
        </w:rPr>
        <w:t>线填写</w:t>
      </w:r>
      <w:r>
        <w:rPr>
          <w:rFonts w:hint="eastAsia" w:ascii="仿宋" w:hAnsi="仿宋" w:eastAsia="仿宋" w:cs="Times New Roman"/>
          <w:sz w:val="32"/>
          <w:szCs w:val="32"/>
        </w:rPr>
        <w:t>。</w:t>
      </w:r>
    </w:p>
    <w:p>
      <w:pPr>
        <w:ind w:firstLine="640" w:firstLineChars="200"/>
        <w:rPr>
          <w:rFonts w:ascii="仿宋" w:hAnsi="仿宋" w:eastAsia="仿宋" w:cs="Times New Roman"/>
          <w:sz w:val="32"/>
          <w:szCs w:val="32"/>
        </w:rPr>
      </w:pPr>
      <w:r>
        <w:rPr>
          <w:rFonts w:hint="eastAsia" w:ascii="仿宋" w:hAnsi="仿宋" w:eastAsia="仿宋" w:cs="Times New Roman"/>
          <w:sz w:val="32"/>
          <w:szCs w:val="32"/>
        </w:rPr>
        <w:t>3.专业</w:t>
      </w:r>
      <w:r>
        <w:rPr>
          <w:rFonts w:ascii="仿宋" w:hAnsi="仿宋" w:eastAsia="仿宋" w:cs="Times New Roman"/>
          <w:sz w:val="32"/>
          <w:szCs w:val="32"/>
        </w:rPr>
        <w:t>人才培养方案作为附件在申报系统</w:t>
      </w:r>
      <w:r>
        <w:rPr>
          <w:rFonts w:hint="eastAsia" w:ascii="仿宋" w:hAnsi="仿宋" w:eastAsia="仿宋" w:cs="Times New Roman"/>
          <w:sz w:val="32"/>
          <w:szCs w:val="32"/>
        </w:rPr>
        <w:t>内</w:t>
      </w:r>
      <w:r>
        <w:rPr>
          <w:rFonts w:ascii="仿宋" w:hAnsi="仿宋" w:eastAsia="仿宋" w:cs="Times New Roman"/>
          <w:sz w:val="32"/>
          <w:szCs w:val="32"/>
        </w:rPr>
        <w:t>提交。</w:t>
      </w:r>
    </w:p>
    <w:p>
      <w:pPr>
        <w:ind w:firstLine="640" w:firstLineChars="200"/>
        <w:rPr>
          <w:rFonts w:ascii="仿宋" w:hAnsi="仿宋" w:eastAsia="仿宋" w:cs="Times New Roman"/>
          <w:sz w:val="32"/>
          <w:szCs w:val="32"/>
        </w:rPr>
      </w:pPr>
      <w:r>
        <w:rPr>
          <w:rFonts w:ascii="仿宋" w:hAnsi="仿宋" w:eastAsia="仿宋" w:cs="Times New Roman"/>
          <w:sz w:val="32"/>
          <w:szCs w:val="32"/>
        </w:rPr>
        <w:t>4.报送</w:t>
      </w:r>
      <w:r>
        <w:rPr>
          <w:rFonts w:hint="eastAsia" w:ascii="仿宋" w:hAnsi="仿宋" w:eastAsia="仿宋" w:cs="Times New Roman"/>
          <w:sz w:val="32"/>
          <w:szCs w:val="32"/>
        </w:rPr>
        <w:t>单位</w:t>
      </w:r>
      <w:r>
        <w:rPr>
          <w:rFonts w:ascii="仿宋" w:hAnsi="仿宋" w:eastAsia="仿宋" w:cs="Times New Roman"/>
          <w:sz w:val="32"/>
          <w:szCs w:val="32"/>
        </w:rPr>
        <w:t>在线</w:t>
      </w:r>
      <w:r>
        <w:rPr>
          <w:rFonts w:hint="eastAsia" w:ascii="仿宋" w:hAnsi="仿宋" w:eastAsia="仿宋" w:cs="Times New Roman"/>
          <w:sz w:val="32"/>
          <w:szCs w:val="32"/>
        </w:rPr>
        <w:t>填报</w:t>
      </w:r>
      <w:r>
        <w:rPr>
          <w:rFonts w:ascii="仿宋" w:hAnsi="仿宋" w:eastAsia="仿宋" w:cs="Times New Roman"/>
          <w:sz w:val="32"/>
          <w:szCs w:val="32"/>
        </w:rPr>
        <w:t>结束后</w:t>
      </w:r>
      <w:r>
        <w:rPr>
          <w:rFonts w:hint="eastAsia" w:ascii="仿宋" w:hAnsi="仿宋" w:eastAsia="仿宋" w:cs="Times New Roman"/>
          <w:sz w:val="32"/>
          <w:szCs w:val="32"/>
        </w:rPr>
        <w:t>，</w:t>
      </w:r>
      <w:r>
        <w:rPr>
          <w:rFonts w:ascii="仿宋" w:hAnsi="仿宋" w:eastAsia="仿宋" w:cs="Times New Roman"/>
          <w:sz w:val="32"/>
          <w:szCs w:val="32"/>
        </w:rPr>
        <w:t>导出</w:t>
      </w:r>
      <w:r>
        <w:rPr>
          <w:rFonts w:hint="eastAsia" w:ascii="仿宋" w:hAnsi="仿宋" w:eastAsia="仿宋" w:cs="Times New Roman"/>
          <w:sz w:val="32"/>
          <w:szCs w:val="32"/>
        </w:rPr>
        <w:t>《国</w:t>
      </w:r>
      <w:r>
        <w:rPr>
          <w:rFonts w:ascii="仿宋" w:hAnsi="仿宋" w:eastAsia="仿宋" w:cs="Times New Roman"/>
          <w:sz w:val="32"/>
          <w:szCs w:val="32"/>
        </w:rPr>
        <w:t>家级</w:t>
      </w:r>
      <w:r>
        <w:rPr>
          <w:rFonts w:hint="eastAsia" w:ascii="仿宋" w:hAnsi="仿宋" w:eastAsia="仿宋" w:cs="Times New Roman"/>
          <w:sz w:val="32"/>
          <w:szCs w:val="32"/>
        </w:rPr>
        <w:t>一</w:t>
      </w:r>
      <w:r>
        <w:rPr>
          <w:rFonts w:ascii="仿宋" w:hAnsi="仿宋" w:eastAsia="仿宋" w:cs="Times New Roman"/>
          <w:sz w:val="32"/>
          <w:szCs w:val="32"/>
        </w:rPr>
        <w:t>流本科专业建设点</w:t>
      </w:r>
      <w:r>
        <w:rPr>
          <w:rFonts w:hint="eastAsia" w:ascii="仿宋" w:hAnsi="仿宋" w:eastAsia="仿宋" w:cs="Times New Roman"/>
          <w:sz w:val="32"/>
          <w:szCs w:val="32"/>
        </w:rPr>
        <w:t>信息</w:t>
      </w:r>
      <w:r>
        <w:rPr>
          <w:rFonts w:ascii="仿宋" w:hAnsi="仿宋" w:eastAsia="仿宋" w:cs="Times New Roman"/>
          <w:sz w:val="32"/>
          <w:szCs w:val="32"/>
        </w:rPr>
        <w:t>汇总表》</w:t>
      </w:r>
      <w:r>
        <w:rPr>
          <w:rFonts w:hint="eastAsia" w:ascii="仿宋" w:hAnsi="仿宋" w:eastAsia="仿宋" w:cs="Times New Roman"/>
          <w:sz w:val="32"/>
          <w:szCs w:val="32"/>
        </w:rPr>
        <w:t>，按</w:t>
      </w:r>
      <w:r>
        <w:rPr>
          <w:rFonts w:ascii="仿宋" w:hAnsi="仿宋" w:eastAsia="仿宋" w:cs="Times New Roman"/>
          <w:sz w:val="32"/>
          <w:szCs w:val="32"/>
        </w:rPr>
        <w:t>要求加</w:t>
      </w:r>
      <w:r>
        <w:rPr>
          <w:rFonts w:hint="eastAsia" w:ascii="仿宋" w:hAnsi="仿宋" w:eastAsia="仿宋" w:cs="Times New Roman"/>
          <w:sz w:val="32"/>
          <w:szCs w:val="32"/>
        </w:rPr>
        <w:t>盖</w:t>
      </w:r>
      <w:r>
        <w:rPr>
          <w:rFonts w:ascii="仿宋" w:hAnsi="仿宋" w:eastAsia="仿宋" w:cs="Times New Roman"/>
          <w:sz w:val="32"/>
          <w:szCs w:val="32"/>
        </w:rPr>
        <w:t>公章后，于报送截止日前</w:t>
      </w:r>
      <w:r>
        <w:rPr>
          <w:rFonts w:hint="eastAsia" w:ascii="仿宋" w:hAnsi="仿宋" w:eastAsia="仿宋" w:cs="Times New Roman"/>
          <w:sz w:val="32"/>
          <w:szCs w:val="32"/>
        </w:rPr>
        <w:t>报送至</w:t>
      </w:r>
      <w:r>
        <w:rPr>
          <w:rFonts w:ascii="仿宋" w:hAnsi="仿宋" w:eastAsia="仿宋" w:cs="Times New Roman"/>
          <w:sz w:val="32"/>
          <w:szCs w:val="32"/>
        </w:rPr>
        <w:t>教育部</w:t>
      </w:r>
      <w:r>
        <w:rPr>
          <w:rFonts w:hint="eastAsia" w:ascii="仿宋" w:hAnsi="仿宋" w:eastAsia="仿宋" w:cs="Times New Roman"/>
          <w:sz w:val="32"/>
          <w:szCs w:val="32"/>
        </w:rPr>
        <w:t>高等</w:t>
      </w:r>
      <w:r>
        <w:rPr>
          <w:rFonts w:ascii="仿宋" w:hAnsi="仿宋" w:eastAsia="仿宋" w:cs="Times New Roman"/>
          <w:sz w:val="32"/>
          <w:szCs w:val="32"/>
        </w:rPr>
        <w:t>教育司</w:t>
      </w:r>
      <w:r>
        <w:rPr>
          <w:rFonts w:hint="eastAsia" w:ascii="仿宋" w:hAnsi="仿宋" w:eastAsia="仿宋" w:cs="Times New Roman"/>
          <w:sz w:val="32"/>
          <w:szCs w:val="32"/>
        </w:rPr>
        <w:t>。</w:t>
      </w:r>
    </w:p>
    <w:p>
      <w:pPr>
        <w:ind w:firstLine="640" w:firstLineChars="200"/>
        <w:rPr>
          <w:rFonts w:ascii="仿宋" w:hAnsi="仿宋" w:eastAsia="仿宋" w:cs="Times New Roman"/>
          <w:sz w:val="32"/>
          <w:szCs w:val="32"/>
        </w:rPr>
      </w:pPr>
    </w:p>
    <w:p>
      <w:pPr>
        <w:rPr>
          <w:rFonts w:ascii="宋体" w:hAnsi="宋体" w:eastAsia="宋体" w:cs="宋体"/>
          <w:sz w:val="30"/>
          <w:szCs w:val="30"/>
        </w:rPr>
      </w:pPr>
    </w:p>
    <w:p>
      <w:pPr>
        <w:rPr>
          <w:rFonts w:ascii="宋体" w:hAnsi="宋体" w:eastAsia="宋体" w:cs="宋体"/>
          <w:sz w:val="30"/>
          <w:szCs w:val="30"/>
        </w:rPr>
      </w:pPr>
    </w:p>
    <w:p>
      <w:pPr>
        <w:rPr>
          <w:rFonts w:ascii="宋体" w:hAnsi="宋体" w:eastAsia="宋体" w:cs="宋体"/>
          <w:sz w:val="30"/>
          <w:szCs w:val="30"/>
        </w:rPr>
      </w:pPr>
    </w:p>
    <w:p>
      <w:pPr>
        <w:rPr>
          <w:rFonts w:ascii="宋体" w:hAnsi="宋体" w:eastAsia="宋体" w:cs="宋体"/>
          <w:sz w:val="30"/>
          <w:szCs w:val="30"/>
        </w:rPr>
      </w:pPr>
    </w:p>
    <w:p>
      <w:pPr>
        <w:rPr>
          <w:rFonts w:ascii="宋体" w:hAnsi="宋体" w:eastAsia="宋体" w:cs="宋体"/>
          <w:sz w:val="30"/>
          <w:szCs w:val="30"/>
        </w:rPr>
      </w:pPr>
    </w:p>
    <w:p>
      <w:pPr>
        <w:rPr>
          <w:rFonts w:ascii="宋体" w:hAnsi="宋体" w:eastAsia="宋体" w:cs="宋体"/>
          <w:sz w:val="30"/>
          <w:szCs w:val="30"/>
        </w:rPr>
      </w:pPr>
    </w:p>
    <w:p>
      <w:pPr>
        <w:spacing w:line="440" w:lineRule="exact"/>
        <w:rPr>
          <w:rFonts w:ascii="Arial" w:hAnsi="Arial" w:eastAsia="楷体_GB2312" w:cs="Times New Roman"/>
          <w:sz w:val="36"/>
          <w:szCs w:val="24"/>
        </w:rPr>
      </w:pPr>
      <w:r>
        <w:rPr>
          <w:rFonts w:ascii="宋体" w:hAnsi="宋体" w:eastAsia="宋体" w:cs="宋体"/>
          <w:sz w:val="30"/>
          <w:szCs w:val="30"/>
        </w:rPr>
        <w:br w:type="page"/>
      </w:r>
    </w:p>
    <w:p>
      <w:pPr>
        <w:spacing w:line="440" w:lineRule="exact"/>
        <w:jc w:val="center"/>
        <w:rPr>
          <w:rFonts w:ascii="黑体" w:hAnsi="Times New Roman" w:eastAsia="黑体" w:cs="Times New Roman"/>
          <w:bCs/>
          <w:sz w:val="36"/>
          <w:szCs w:val="36"/>
        </w:rPr>
      </w:pPr>
    </w:p>
    <w:p>
      <w:pPr>
        <w:spacing w:line="440" w:lineRule="exact"/>
        <w:jc w:val="center"/>
        <w:outlineLvl w:val="0"/>
        <w:rPr>
          <w:rFonts w:ascii="方正小标宋简体" w:hAnsi="Times New Roman" w:eastAsia="方正小标宋简体" w:cs="Times New Roman"/>
          <w:bCs/>
          <w:sz w:val="36"/>
          <w:szCs w:val="36"/>
        </w:rPr>
      </w:pPr>
      <w:r>
        <w:rPr>
          <w:rFonts w:hint="eastAsia" w:ascii="方正小标宋简体" w:hAnsi="Times New Roman" w:eastAsia="方正小标宋简体" w:cs="Times New Roman"/>
          <w:bCs/>
          <w:sz w:val="36"/>
          <w:szCs w:val="36"/>
        </w:rPr>
        <w:t>目    录</w:t>
      </w:r>
    </w:p>
    <w:p>
      <w:pPr>
        <w:spacing w:line="360" w:lineRule="auto"/>
        <w:rPr>
          <w:rFonts w:ascii="仿宋_GB2312" w:hAnsi="Times New Roman" w:eastAsia="仿宋_GB2312" w:cs="Times New Roman"/>
          <w:sz w:val="32"/>
          <w:szCs w:val="24"/>
        </w:rPr>
      </w:pPr>
    </w:p>
    <w:p>
      <w:pPr>
        <w:spacing w:line="360" w:lineRule="auto"/>
        <w:ind w:firstLine="640" w:firstLineChars="200"/>
        <w:outlineLvl w:val="0"/>
        <w:rPr>
          <w:rFonts w:ascii="仿宋_GB2312" w:hAnsi="仿宋" w:eastAsia="仿宋_GB2312" w:cs="Times New Roman"/>
          <w:sz w:val="32"/>
          <w:szCs w:val="32"/>
        </w:rPr>
      </w:pPr>
      <w:r>
        <w:rPr>
          <w:rFonts w:ascii="仿宋_GB2312" w:hAnsi="仿宋" w:eastAsia="仿宋_GB2312" w:cs="Times New Roman"/>
          <w:sz w:val="32"/>
          <w:szCs w:val="32"/>
        </w:rPr>
        <w:t>一</w:t>
      </w:r>
      <w:r>
        <w:rPr>
          <w:rFonts w:hint="eastAsia" w:ascii="仿宋_GB2312" w:hAnsi="仿宋" w:eastAsia="仿宋_GB2312" w:cs="Times New Roman"/>
          <w:sz w:val="32"/>
          <w:szCs w:val="32"/>
        </w:rPr>
        <w:t>、所在</w:t>
      </w:r>
      <w:r>
        <w:rPr>
          <w:rFonts w:ascii="仿宋_GB2312" w:hAnsi="仿宋" w:eastAsia="仿宋_GB2312" w:cs="Times New Roman"/>
          <w:sz w:val="32"/>
          <w:szCs w:val="32"/>
        </w:rPr>
        <w:t>高校基本情况</w:t>
      </w:r>
    </w:p>
    <w:p>
      <w:pPr>
        <w:spacing w:line="360" w:lineRule="auto"/>
        <w:ind w:firstLine="640" w:firstLineChars="200"/>
        <w:outlineLvl w:val="0"/>
        <w:rPr>
          <w:rFonts w:ascii="仿宋_GB2312" w:hAnsi="仿宋" w:eastAsia="仿宋_GB2312" w:cs="Times New Roman"/>
          <w:sz w:val="32"/>
          <w:szCs w:val="32"/>
        </w:rPr>
      </w:pPr>
      <w:r>
        <w:rPr>
          <w:rFonts w:ascii="仿宋_GB2312" w:hAnsi="仿宋" w:eastAsia="仿宋_GB2312" w:cs="Times New Roman"/>
          <w:sz w:val="32"/>
          <w:szCs w:val="32"/>
        </w:rPr>
        <w:t>二</w:t>
      </w:r>
      <w:r>
        <w:rPr>
          <w:rFonts w:hint="eastAsia" w:ascii="仿宋_GB2312" w:hAnsi="仿宋" w:eastAsia="仿宋_GB2312" w:cs="Times New Roman"/>
          <w:sz w:val="32"/>
          <w:szCs w:val="32"/>
        </w:rPr>
        <w:t>、</w:t>
      </w:r>
      <w:r>
        <w:rPr>
          <w:rFonts w:ascii="仿宋_GB2312" w:hAnsi="仿宋" w:eastAsia="仿宋_GB2312" w:cs="Times New Roman"/>
          <w:sz w:val="32"/>
          <w:szCs w:val="32"/>
        </w:rPr>
        <w:t>报送专业情况</w:t>
      </w:r>
    </w:p>
    <w:p>
      <w:pPr>
        <w:spacing w:line="360" w:lineRule="auto"/>
        <w:ind w:firstLine="640" w:firstLineChars="200"/>
        <w:outlineLvl w:val="1"/>
        <w:rPr>
          <w:rFonts w:ascii="仿宋_GB2312" w:hAnsi="仿宋" w:eastAsia="仿宋_GB2312" w:cs="Times New Roman"/>
          <w:bCs/>
          <w:sz w:val="32"/>
          <w:szCs w:val="32"/>
        </w:rPr>
      </w:pPr>
      <w:r>
        <w:rPr>
          <w:rFonts w:hint="eastAsia" w:ascii="仿宋_GB2312" w:hAnsi="仿宋" w:eastAsia="仿宋_GB2312" w:cs="Times New Roman"/>
          <w:bCs/>
          <w:sz w:val="32"/>
          <w:szCs w:val="32"/>
        </w:rPr>
        <w:t>1.专业基本情况</w:t>
      </w:r>
    </w:p>
    <w:p>
      <w:pPr>
        <w:spacing w:line="360" w:lineRule="auto"/>
        <w:ind w:firstLine="640" w:firstLineChars="200"/>
        <w:outlineLvl w:val="1"/>
        <w:rPr>
          <w:rFonts w:ascii="仿宋_GB2312" w:hAnsi="仿宋" w:eastAsia="仿宋_GB2312" w:cs="Times New Roman"/>
          <w:bCs/>
          <w:spacing w:val="20"/>
          <w:sz w:val="32"/>
          <w:szCs w:val="32"/>
        </w:rPr>
      </w:pPr>
      <w:r>
        <w:rPr>
          <w:rFonts w:hint="eastAsia" w:ascii="仿宋_GB2312" w:hAnsi="仿宋" w:eastAsia="仿宋_GB2312" w:cs="Times New Roman"/>
          <w:sz w:val="32"/>
          <w:szCs w:val="32"/>
        </w:rPr>
        <w:t>2</w:t>
      </w:r>
      <w:r>
        <w:rPr>
          <w:rFonts w:hint="eastAsia" w:ascii="仿宋_GB2312" w:hAnsi="仿宋" w:eastAsia="仿宋_GB2312" w:cs="Times New Roman"/>
          <w:bCs/>
          <w:sz w:val="32"/>
          <w:szCs w:val="32"/>
        </w:rPr>
        <w:t>.专业负责人基本情况</w:t>
      </w:r>
    </w:p>
    <w:p>
      <w:pPr>
        <w:spacing w:line="360" w:lineRule="auto"/>
        <w:ind w:firstLine="640" w:firstLineChars="200"/>
        <w:outlineLvl w:val="1"/>
        <w:rPr>
          <w:rFonts w:ascii="仿宋_GB2312" w:hAnsi="仿宋" w:eastAsia="仿宋_GB2312" w:cs="Times New Roman"/>
          <w:sz w:val="32"/>
          <w:szCs w:val="32"/>
        </w:rPr>
      </w:pPr>
      <w:r>
        <w:rPr>
          <w:rFonts w:hint="eastAsia" w:ascii="仿宋_GB2312" w:hAnsi="仿宋" w:eastAsia="仿宋_GB2312" w:cs="Times New Roman"/>
          <w:sz w:val="32"/>
          <w:szCs w:val="32"/>
        </w:rPr>
        <w:t>3.近3年本专业毕业生就业（升学）情况</w:t>
      </w:r>
    </w:p>
    <w:p>
      <w:pPr>
        <w:spacing w:line="360" w:lineRule="auto"/>
        <w:ind w:firstLine="640" w:firstLineChars="200"/>
        <w:outlineLvl w:val="1"/>
        <w:rPr>
          <w:rFonts w:ascii="仿宋_GB2312" w:hAnsi="仿宋" w:eastAsia="仿宋_GB2312" w:cs="Times New Roman"/>
          <w:sz w:val="32"/>
          <w:szCs w:val="32"/>
        </w:rPr>
      </w:pPr>
      <w:r>
        <w:rPr>
          <w:rFonts w:hint="eastAsia" w:ascii="仿宋_GB2312" w:hAnsi="仿宋" w:eastAsia="仿宋_GB2312" w:cs="Times New Roman"/>
          <w:sz w:val="32"/>
          <w:szCs w:val="32"/>
        </w:rPr>
        <w:t>4.近3年本专业获省部级及以上奖励和支持情况</w:t>
      </w:r>
    </w:p>
    <w:p>
      <w:pPr>
        <w:spacing w:line="360" w:lineRule="auto"/>
        <w:ind w:firstLine="640" w:firstLineChars="200"/>
        <w:outlineLvl w:val="1"/>
        <w:rPr>
          <w:rFonts w:ascii="仿宋_GB2312" w:hAnsi="仿宋" w:eastAsia="仿宋_GB2312" w:cs="Times New Roman"/>
          <w:sz w:val="32"/>
          <w:szCs w:val="32"/>
        </w:rPr>
      </w:pPr>
      <w:r>
        <w:rPr>
          <w:rFonts w:hint="eastAsia" w:ascii="仿宋_GB2312" w:hAnsi="仿宋" w:eastAsia="仿宋_GB2312" w:cs="Times New Roman"/>
          <w:sz w:val="32"/>
          <w:szCs w:val="32"/>
        </w:rPr>
        <w:t>5.专业定位、历史沿革和特色优势</w:t>
      </w:r>
    </w:p>
    <w:p>
      <w:pPr>
        <w:spacing w:line="360" w:lineRule="auto"/>
        <w:ind w:firstLine="640" w:firstLineChars="200"/>
        <w:outlineLvl w:val="1"/>
        <w:rPr>
          <w:rFonts w:ascii="仿宋_GB2312" w:hAnsi="仿宋" w:eastAsia="仿宋_GB2312" w:cs="Times New Roman"/>
          <w:sz w:val="32"/>
          <w:szCs w:val="32"/>
        </w:rPr>
      </w:pPr>
      <w:r>
        <w:rPr>
          <w:rFonts w:hint="eastAsia" w:ascii="仿宋_GB2312" w:hAnsi="仿宋" w:eastAsia="仿宋_GB2312" w:cs="Times New Roman"/>
          <w:sz w:val="32"/>
          <w:szCs w:val="32"/>
        </w:rPr>
        <w:t>6.深化专业综合改革的主要措施和成效</w:t>
      </w:r>
    </w:p>
    <w:p>
      <w:pPr>
        <w:spacing w:line="360" w:lineRule="auto"/>
        <w:ind w:firstLine="640" w:firstLineChars="200"/>
        <w:outlineLvl w:val="1"/>
        <w:rPr>
          <w:rFonts w:ascii="仿宋_GB2312" w:hAnsi="仿宋" w:eastAsia="仿宋_GB2312" w:cs="Times New Roman"/>
          <w:bCs/>
          <w:kern w:val="0"/>
          <w:sz w:val="32"/>
          <w:szCs w:val="32"/>
        </w:rPr>
      </w:pPr>
      <w:r>
        <w:rPr>
          <w:rFonts w:hint="eastAsia" w:ascii="仿宋_GB2312" w:hAnsi="仿宋" w:eastAsia="仿宋_GB2312" w:cs="Times New Roman"/>
          <w:bCs/>
          <w:kern w:val="0"/>
          <w:sz w:val="32"/>
          <w:szCs w:val="32"/>
        </w:rPr>
        <w:t>7.加强师资队伍和基层教学组织建设的主要举措</w:t>
      </w:r>
      <w:r>
        <w:rPr>
          <w:rFonts w:ascii="仿宋_GB2312" w:hAnsi="仿宋" w:eastAsia="仿宋_GB2312" w:cs="Times New Roman"/>
          <w:bCs/>
          <w:kern w:val="0"/>
          <w:sz w:val="32"/>
          <w:szCs w:val="32"/>
        </w:rPr>
        <w:t>及</w:t>
      </w:r>
      <w:r>
        <w:rPr>
          <w:rFonts w:hint="eastAsia" w:ascii="仿宋_GB2312" w:hAnsi="仿宋" w:eastAsia="仿宋_GB2312" w:cs="Times New Roman"/>
          <w:bCs/>
          <w:kern w:val="0"/>
          <w:sz w:val="32"/>
          <w:szCs w:val="32"/>
        </w:rPr>
        <w:t>成效</w:t>
      </w:r>
    </w:p>
    <w:p>
      <w:pPr>
        <w:spacing w:line="360" w:lineRule="auto"/>
        <w:ind w:firstLine="640" w:firstLineChars="200"/>
        <w:outlineLvl w:val="1"/>
        <w:rPr>
          <w:rFonts w:ascii="仿宋_GB2312" w:hAnsi="仿宋" w:eastAsia="仿宋_GB2312" w:cs="Times New Roman"/>
          <w:bCs/>
          <w:sz w:val="32"/>
          <w:szCs w:val="32"/>
        </w:rPr>
      </w:pPr>
      <w:r>
        <w:rPr>
          <w:rFonts w:hint="eastAsia" w:ascii="仿宋_GB2312" w:hAnsi="仿宋" w:eastAsia="仿宋_GB2312" w:cs="Times New Roman"/>
          <w:bCs/>
          <w:kern w:val="0"/>
          <w:sz w:val="32"/>
          <w:szCs w:val="32"/>
        </w:rPr>
        <w:t>8.加强专业教学质量保障体系建设的主要举措和成效</w:t>
      </w:r>
    </w:p>
    <w:p>
      <w:pPr>
        <w:spacing w:line="360" w:lineRule="auto"/>
        <w:ind w:firstLine="640" w:firstLineChars="200"/>
        <w:outlineLvl w:val="1"/>
        <w:rPr>
          <w:rFonts w:ascii="仿宋_GB2312" w:hAnsi="仿宋" w:eastAsia="仿宋_GB2312" w:cs="Times New Roman"/>
          <w:bCs/>
          <w:sz w:val="32"/>
          <w:szCs w:val="32"/>
        </w:rPr>
      </w:pPr>
      <w:r>
        <w:rPr>
          <w:rFonts w:hint="eastAsia" w:ascii="仿宋_GB2312" w:hAnsi="仿宋" w:eastAsia="仿宋_GB2312" w:cs="Times New Roman"/>
          <w:bCs/>
          <w:sz w:val="32"/>
          <w:szCs w:val="32"/>
        </w:rPr>
        <w:t>9.毕业生培养质量的跟踪调查结果和外部评价</w:t>
      </w:r>
    </w:p>
    <w:p>
      <w:pPr>
        <w:spacing w:line="360" w:lineRule="auto"/>
        <w:ind w:firstLine="640" w:firstLineChars="200"/>
        <w:outlineLvl w:val="0"/>
        <w:rPr>
          <w:rFonts w:ascii="仿宋_GB2312" w:hAnsi="仿宋" w:eastAsia="仿宋_GB2312" w:cs="Times New Roman"/>
          <w:bCs/>
          <w:sz w:val="32"/>
          <w:szCs w:val="32"/>
        </w:rPr>
      </w:pPr>
      <w:r>
        <w:rPr>
          <w:rFonts w:hint="eastAsia" w:ascii="仿宋_GB2312" w:hAnsi="仿宋" w:eastAsia="仿宋_GB2312" w:cs="Times New Roman"/>
          <w:bCs/>
          <w:sz w:val="32"/>
          <w:szCs w:val="32"/>
        </w:rPr>
        <w:t>三、下一步推进专业建设和改革的主要思路及举措</w:t>
      </w:r>
    </w:p>
    <w:p>
      <w:pPr>
        <w:outlineLvl w:val="0"/>
        <w:rPr>
          <w:rFonts w:ascii="黑体" w:hAnsi="黑体" w:eastAsia="黑体" w:cs="Times New Roman"/>
          <w:sz w:val="32"/>
          <w:szCs w:val="32"/>
        </w:rPr>
      </w:pPr>
      <w:r>
        <w:rPr>
          <w:rFonts w:hint="eastAsia" w:ascii="仿宋_GB2312" w:hAnsi="黑体" w:eastAsia="仿宋_GB2312" w:cs="Times New Roman"/>
          <w:bCs/>
          <w:sz w:val="36"/>
          <w:szCs w:val="36"/>
        </w:rPr>
        <w:br w:type="page"/>
      </w:r>
      <w:r>
        <w:rPr>
          <w:rFonts w:hint="eastAsia" w:ascii="黑体" w:hAnsi="黑体" w:eastAsia="黑体" w:cs="Times New Roman"/>
          <w:sz w:val="32"/>
          <w:szCs w:val="32"/>
        </w:rPr>
        <w:t>一、所在高校基本情况（此处无需专业填写）</w:t>
      </w:r>
    </w:p>
    <w:tbl>
      <w:tblPr>
        <w:tblStyle w:val="4"/>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3"/>
        <w:gridCol w:w="1748"/>
        <w:gridCol w:w="2987"/>
        <w:gridCol w:w="375"/>
        <w:gridCol w:w="115"/>
        <w:gridCol w:w="1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3" w:type="dxa"/>
            <w:vAlign w:val="center"/>
          </w:tcPr>
          <w:p>
            <w:pPr>
              <w:spacing w:line="36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学校名称</w:t>
            </w:r>
          </w:p>
        </w:tc>
        <w:tc>
          <w:tcPr>
            <w:tcW w:w="1748" w:type="dxa"/>
            <w:vAlign w:val="center"/>
          </w:tcPr>
          <w:p>
            <w:pPr>
              <w:spacing w:line="360" w:lineRule="auto"/>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南京体育学院</w:t>
            </w:r>
          </w:p>
        </w:tc>
        <w:tc>
          <w:tcPr>
            <w:tcW w:w="2987" w:type="dxa"/>
            <w:vAlign w:val="center"/>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学校代码</w:t>
            </w:r>
          </w:p>
        </w:tc>
        <w:tc>
          <w:tcPr>
            <w:tcW w:w="1651" w:type="dxa"/>
            <w:gridSpan w:val="3"/>
            <w:vAlign w:val="center"/>
          </w:tcPr>
          <w:p>
            <w:pPr>
              <w:spacing w:line="360" w:lineRule="auto"/>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10330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3" w:type="dxa"/>
            <w:vMerge w:val="restart"/>
            <w:vAlign w:val="center"/>
          </w:tcPr>
          <w:p>
            <w:pPr>
              <w:ind w:left="-105" w:leftChars="-50" w:right="-105" w:rightChars="-5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学校办学</w:t>
            </w:r>
          </w:p>
          <w:p>
            <w:pPr>
              <w:spacing w:line="36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基本类型</w:t>
            </w:r>
          </w:p>
        </w:tc>
        <w:tc>
          <w:tcPr>
            <w:tcW w:w="6386" w:type="dxa"/>
            <w:gridSpan w:val="5"/>
          </w:tcPr>
          <w:p>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□部委院校  </w:t>
            </w:r>
            <w:r>
              <w:rPr>
                <w:rFonts w:ascii="Times New Roman" w:hAnsi="Times New Roman" w:eastAsia="仿宋_GB2312" w:cs="Times New Roman"/>
                <w:sz w:val="24"/>
                <w:szCs w:val="24"/>
              </w:rPr>
              <w:sym w:font="Wingdings 2" w:char="0052"/>
            </w:r>
            <w:r>
              <w:rPr>
                <w:rFonts w:ascii="Times New Roman" w:hAnsi="Times New Roman" w:eastAsia="仿宋_GB2312" w:cs="Times New Roman"/>
                <w:sz w:val="24"/>
                <w:szCs w:val="24"/>
              </w:rPr>
              <w:t>地方院校 □</w:t>
            </w:r>
            <w:r>
              <w:rPr>
                <w:rFonts w:hint="eastAsia" w:ascii="Times New Roman" w:hAnsi="Times New Roman" w:eastAsia="仿宋_GB2312" w:cs="Times New Roman"/>
                <w:sz w:val="24"/>
                <w:szCs w:val="24"/>
              </w:rPr>
              <w:t>部省</w:t>
            </w:r>
            <w:r>
              <w:rPr>
                <w:rFonts w:ascii="Times New Roman" w:hAnsi="Times New Roman" w:eastAsia="仿宋_GB2312" w:cs="Times New Roman"/>
                <w:sz w:val="24"/>
                <w:szCs w:val="24"/>
              </w:rPr>
              <w:t>合建高校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3" w:type="dxa"/>
            <w:vMerge w:val="continue"/>
          </w:tcPr>
          <w:p>
            <w:pPr>
              <w:spacing w:line="360" w:lineRule="auto"/>
              <w:rPr>
                <w:rFonts w:ascii="Times New Roman" w:hAnsi="Times New Roman" w:eastAsia="仿宋_GB2312" w:cs="Times New Roman"/>
                <w:sz w:val="24"/>
                <w:szCs w:val="24"/>
              </w:rPr>
            </w:pPr>
          </w:p>
        </w:tc>
        <w:tc>
          <w:tcPr>
            <w:tcW w:w="6386" w:type="dxa"/>
            <w:gridSpan w:val="5"/>
          </w:tcPr>
          <w:p>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sym w:font="Wingdings 2" w:char="0052"/>
            </w:r>
            <w:r>
              <w:rPr>
                <w:rFonts w:ascii="Times New Roman" w:hAnsi="Times New Roman" w:eastAsia="仿宋_GB2312" w:cs="Times New Roman"/>
                <w:sz w:val="24"/>
                <w:szCs w:val="24"/>
              </w:rPr>
              <w:t>公办  □民办  □中外合作办学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3" w:type="dxa"/>
            <w:vAlign w:val="center"/>
          </w:tcPr>
          <w:p>
            <w:pPr>
              <w:spacing w:line="36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在校本科生总数</w:t>
            </w:r>
          </w:p>
        </w:tc>
        <w:tc>
          <w:tcPr>
            <w:tcW w:w="1748" w:type="dxa"/>
            <w:vAlign w:val="center"/>
          </w:tcPr>
          <w:p>
            <w:pPr>
              <w:spacing w:line="360" w:lineRule="auto"/>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highlight w:val="yellow"/>
                <w:lang w:val="en-US" w:eastAsia="zh-CN"/>
              </w:rPr>
              <w:t>XX</w:t>
            </w:r>
            <w:r>
              <w:rPr>
                <w:rFonts w:ascii="Times New Roman" w:hAnsi="Times New Roman" w:eastAsia="仿宋_GB2312" w:cs="Times New Roman"/>
                <w:sz w:val="24"/>
                <w:szCs w:val="24"/>
              </w:rPr>
              <w:t>人</w:t>
            </w:r>
          </w:p>
        </w:tc>
        <w:tc>
          <w:tcPr>
            <w:tcW w:w="3477" w:type="dxa"/>
            <w:gridSpan w:val="3"/>
            <w:vAlign w:val="center"/>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近3</w:t>
            </w:r>
            <w:r>
              <w:rPr>
                <w:rFonts w:ascii="Times New Roman" w:hAnsi="Times New Roman" w:eastAsia="仿宋_GB2312" w:cs="Times New Roman"/>
                <w:sz w:val="24"/>
                <w:szCs w:val="24"/>
              </w:rPr>
              <w:t>年年均本科招生数</w:t>
            </w:r>
          </w:p>
        </w:tc>
        <w:tc>
          <w:tcPr>
            <w:tcW w:w="1161" w:type="dxa"/>
            <w:vAlign w:val="center"/>
          </w:tcPr>
          <w:p>
            <w:pPr>
              <w:spacing w:line="360" w:lineRule="auto"/>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highlight w:val="yellow"/>
                <w:lang w:val="en-US" w:eastAsia="zh-CN"/>
              </w:rPr>
              <w:t>XX</w:t>
            </w:r>
            <w:r>
              <w:rPr>
                <w:rFonts w:ascii="Times New Roman" w:hAnsi="Times New Roman" w:eastAsia="仿宋_GB2312" w:cs="Times New Roman"/>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3" w:type="dxa"/>
            <w:vAlign w:val="center"/>
          </w:tcPr>
          <w:p>
            <w:pPr>
              <w:ind w:left="-105" w:leftChars="-50" w:right="-105" w:rightChars="-5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专任教师总数</w:t>
            </w:r>
          </w:p>
        </w:tc>
        <w:tc>
          <w:tcPr>
            <w:tcW w:w="1748" w:type="dxa"/>
            <w:vAlign w:val="center"/>
          </w:tcPr>
          <w:p>
            <w:pPr>
              <w:spacing w:line="320" w:lineRule="exact"/>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highlight w:val="yellow"/>
                <w:lang w:val="en-US" w:eastAsia="zh-CN"/>
              </w:rPr>
              <w:t>XX</w:t>
            </w:r>
            <w:r>
              <w:rPr>
                <w:rFonts w:ascii="Times New Roman" w:hAnsi="Times New Roman" w:eastAsia="仿宋_GB2312" w:cs="Times New Roman"/>
                <w:sz w:val="24"/>
                <w:szCs w:val="24"/>
              </w:rPr>
              <w:t>人</w:t>
            </w:r>
          </w:p>
        </w:tc>
        <w:tc>
          <w:tcPr>
            <w:tcW w:w="3477" w:type="dxa"/>
            <w:gridSpan w:val="3"/>
            <w:vAlign w:val="center"/>
          </w:tcPr>
          <w:p>
            <w:pPr>
              <w:spacing w:line="32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专任教师中副教授及以上职称比例</w:t>
            </w:r>
          </w:p>
        </w:tc>
        <w:tc>
          <w:tcPr>
            <w:tcW w:w="1161" w:type="dxa"/>
            <w:vAlign w:val="center"/>
          </w:tcPr>
          <w:p>
            <w:pPr>
              <w:spacing w:line="360" w:lineRule="auto"/>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highlight w:val="yellow"/>
                <w:lang w:val="en-US" w:eastAsia="zh-CN"/>
              </w:rPr>
              <w:t>XX</w:t>
            </w:r>
            <w:r>
              <w:rPr>
                <w:rFonts w:hint="eastAsia" w:ascii="Times New Roman" w:hAnsi="Times New Roman" w:eastAsia="仿宋_GB2312"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3" w:type="dxa"/>
            <w:vAlign w:val="center"/>
          </w:tcPr>
          <w:p>
            <w:pPr>
              <w:ind w:left="-105" w:leftChars="-50" w:right="-105" w:rightChars="-5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生师比</w:t>
            </w:r>
          </w:p>
        </w:tc>
        <w:tc>
          <w:tcPr>
            <w:tcW w:w="1748" w:type="dxa"/>
            <w:vAlign w:val="center"/>
          </w:tcPr>
          <w:p>
            <w:pPr>
              <w:spacing w:line="320" w:lineRule="exact"/>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highlight w:val="yellow"/>
                <w:lang w:val="en-US" w:eastAsia="zh-CN"/>
              </w:rPr>
              <w:t>XX</w:t>
            </w:r>
          </w:p>
        </w:tc>
        <w:tc>
          <w:tcPr>
            <w:tcW w:w="3477" w:type="dxa"/>
            <w:gridSpan w:val="3"/>
            <w:vAlign w:val="center"/>
          </w:tcPr>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具有硕博士学位教师占专任教师比例</w:t>
            </w:r>
          </w:p>
        </w:tc>
        <w:tc>
          <w:tcPr>
            <w:tcW w:w="1161" w:type="dxa"/>
            <w:vAlign w:val="center"/>
          </w:tcPr>
          <w:p>
            <w:pPr>
              <w:spacing w:line="360" w:lineRule="auto"/>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highlight w:val="yellow"/>
                <w:lang w:val="en-US" w:eastAsia="zh-CN"/>
              </w:rPr>
              <w:t>XX</w:t>
            </w:r>
            <w:r>
              <w:rPr>
                <w:rFonts w:hint="eastAsia" w:ascii="Times New Roman" w:hAnsi="Times New Roman" w:eastAsia="仿宋_GB2312"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1" w:hRule="atLeast"/>
        </w:trPr>
        <w:tc>
          <w:tcPr>
            <w:tcW w:w="1973" w:type="dxa"/>
            <w:vAlign w:val="center"/>
          </w:tcPr>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推进高水平本科建设整体情况</w:t>
            </w:r>
          </w:p>
        </w:tc>
        <w:tc>
          <w:tcPr>
            <w:tcW w:w="6386" w:type="dxa"/>
            <w:gridSpan w:val="5"/>
          </w:tcPr>
          <w:p>
            <w:pPr>
              <w:spacing w:line="360" w:lineRule="auto"/>
              <w:jc w:val="left"/>
              <w:rPr>
                <w:rFonts w:ascii="仿宋" w:hAnsi="仿宋" w:eastAsia="仿宋" w:cs="Times New Roman"/>
                <w:sz w:val="24"/>
                <w:szCs w:val="24"/>
              </w:rPr>
            </w:pPr>
            <w:r>
              <w:rPr>
                <w:rFonts w:hint="eastAsia" w:ascii="仿宋" w:hAnsi="仿宋" w:eastAsia="仿宋" w:cs="Times New Roman"/>
                <w:sz w:val="24"/>
                <w:szCs w:val="24"/>
              </w:rPr>
              <w:t>（</w:t>
            </w:r>
            <w:r>
              <w:rPr>
                <w:rFonts w:ascii="仿宋" w:hAnsi="仿宋" w:eastAsia="仿宋" w:cs="Times New Roman"/>
                <w:sz w:val="24"/>
                <w:szCs w:val="24"/>
              </w:rPr>
              <w:t>落实</w:t>
            </w:r>
            <w:r>
              <w:rPr>
                <w:rFonts w:hint="eastAsia" w:ascii="仿宋" w:hAnsi="仿宋" w:eastAsia="仿宋" w:cs="Times New Roman"/>
                <w:sz w:val="24"/>
                <w:szCs w:val="24"/>
              </w:rPr>
              <w:t>“以本为本、四个回归”、推进“四新”建设、完善协同育人和实践教学机制、</w:t>
            </w:r>
            <w:r>
              <w:rPr>
                <w:rFonts w:ascii="仿宋" w:hAnsi="仿宋" w:eastAsia="仿宋" w:cs="Times New Roman"/>
                <w:sz w:val="24"/>
                <w:szCs w:val="24"/>
              </w:rPr>
              <w:t>培育以人才培养为中心的</w:t>
            </w:r>
            <w:r>
              <w:rPr>
                <w:rFonts w:hint="eastAsia" w:ascii="仿宋" w:hAnsi="仿宋" w:eastAsia="仿宋" w:cs="Times New Roman"/>
                <w:sz w:val="24"/>
                <w:szCs w:val="24"/>
              </w:rPr>
              <w:t>质量文化等</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1200字以内</w:t>
            </w:r>
            <w:r>
              <w:rPr>
                <w:rFonts w:hint="eastAsia" w:ascii="仿宋" w:hAnsi="仿宋" w:eastAsia="仿宋" w:cs="Times New Roman"/>
                <w:sz w:val="24"/>
                <w:szCs w:val="24"/>
              </w:rPr>
              <w:t>）</w:t>
            </w:r>
          </w:p>
          <w:p>
            <w:pPr>
              <w:spacing w:line="360" w:lineRule="auto"/>
              <w:ind w:firstLine="480" w:firstLineChars="200"/>
              <w:jc w:val="left"/>
              <w:rPr>
                <w:rFonts w:ascii="仿宋" w:hAnsi="仿宋" w:eastAsia="仿宋" w:cs="Times New Roman"/>
                <w:sz w:val="24"/>
                <w:szCs w:val="24"/>
              </w:rPr>
            </w:pPr>
            <w:r>
              <w:rPr>
                <w:rFonts w:hint="eastAsia" w:ascii="仿宋" w:hAnsi="仿宋" w:eastAsia="仿宋" w:cs="Times New Roman"/>
                <w:sz w:val="24"/>
                <w:szCs w:val="24"/>
              </w:rPr>
              <w:t>南京体育学院是江苏省唯一一</w:t>
            </w:r>
            <w:bookmarkStart w:id="1" w:name="_GoBack"/>
            <w:bookmarkEnd w:id="1"/>
            <w:r>
              <w:rPr>
                <w:rFonts w:hint="eastAsia" w:ascii="仿宋" w:hAnsi="仿宋" w:eastAsia="仿宋" w:cs="Times New Roman"/>
                <w:sz w:val="24"/>
                <w:szCs w:val="24"/>
              </w:rPr>
              <w:t>所独立建制的高等体育院校和重要的省级竞技体育训练基地，是省教育厅和省体育局共管的省属重点建设大学。学校现有14个本科专业，涉及教育学、文学、管理学、理学、艺术学、工学6个学科门类，在校本科生</w:t>
            </w:r>
            <w:r>
              <w:rPr>
                <w:rFonts w:hint="eastAsia" w:ascii="仿宋" w:hAnsi="仿宋" w:eastAsia="仿宋" w:cs="Times New Roman"/>
                <w:sz w:val="24"/>
                <w:szCs w:val="24"/>
                <w:highlight w:val="yellow"/>
                <w:lang w:val="en-US" w:eastAsia="zh-CN"/>
              </w:rPr>
              <w:t>XX</w:t>
            </w:r>
            <w:r>
              <w:rPr>
                <w:rFonts w:hint="eastAsia" w:ascii="仿宋" w:hAnsi="仿宋" w:eastAsia="仿宋" w:cs="Times New Roman"/>
                <w:sz w:val="24"/>
                <w:szCs w:val="24"/>
              </w:rPr>
              <w:t>人。办校6</w:t>
            </w:r>
            <w:r>
              <w:rPr>
                <w:rFonts w:hint="eastAsia" w:ascii="仿宋" w:hAnsi="仿宋" w:eastAsia="仿宋" w:cs="Times New Roman"/>
                <w:sz w:val="24"/>
                <w:szCs w:val="24"/>
                <w:lang w:val="en-US" w:eastAsia="zh-CN"/>
              </w:rPr>
              <w:t>5</w:t>
            </w:r>
            <w:r>
              <w:rPr>
                <w:rFonts w:hint="eastAsia" w:ascii="仿宋" w:hAnsi="仿宋" w:eastAsia="仿宋" w:cs="Times New Roman"/>
                <w:sz w:val="24"/>
                <w:szCs w:val="24"/>
              </w:rPr>
              <w:t>年来，学校着眼于国家和社会体育事业发展需要的高水平竞技体育人才和高质量应用型体育人才的培养，为社会输送了大量高水平体育专业人才，培养了多个项目的竞技体育精英，培养出1</w:t>
            </w:r>
            <w:r>
              <w:rPr>
                <w:rFonts w:hint="eastAsia" w:ascii="仿宋" w:hAnsi="仿宋" w:eastAsia="仿宋" w:cs="Times New Roman"/>
                <w:sz w:val="24"/>
                <w:szCs w:val="24"/>
                <w:lang w:val="en-US" w:eastAsia="zh-CN"/>
              </w:rPr>
              <w:t>6</w:t>
            </w:r>
            <w:r>
              <w:rPr>
                <w:rFonts w:hint="eastAsia" w:ascii="仿宋" w:hAnsi="仿宋" w:eastAsia="仿宋" w:cs="Times New Roman"/>
                <w:sz w:val="24"/>
                <w:szCs w:val="24"/>
              </w:rPr>
              <w:t>名奥运冠军、10</w:t>
            </w:r>
            <w:r>
              <w:rPr>
                <w:rFonts w:hint="eastAsia" w:ascii="仿宋" w:hAnsi="仿宋" w:eastAsia="仿宋" w:cs="Times New Roman"/>
                <w:sz w:val="24"/>
                <w:szCs w:val="24"/>
                <w:lang w:val="en-US" w:eastAsia="zh-CN"/>
              </w:rPr>
              <w:t>5</w:t>
            </w:r>
            <w:r>
              <w:rPr>
                <w:rFonts w:hint="eastAsia" w:ascii="仿宋" w:hAnsi="仿宋" w:eastAsia="仿宋" w:cs="Times New Roman"/>
                <w:sz w:val="24"/>
                <w:szCs w:val="24"/>
              </w:rPr>
              <w:t>位世界冠军，形成了学、训、研 “三位一体”的人才培养“南体模式”。</w:t>
            </w:r>
          </w:p>
          <w:p>
            <w:pPr>
              <w:spacing w:line="360" w:lineRule="auto"/>
              <w:ind w:firstLine="480" w:firstLineChars="200"/>
              <w:jc w:val="left"/>
              <w:rPr>
                <w:rFonts w:ascii="仿宋" w:hAnsi="仿宋" w:eastAsia="仿宋" w:cs="Times New Roman"/>
                <w:sz w:val="24"/>
                <w:szCs w:val="24"/>
              </w:rPr>
            </w:pPr>
            <w:r>
              <w:rPr>
                <w:rFonts w:hint="eastAsia" w:ascii="仿宋" w:hAnsi="仿宋" w:eastAsia="仿宋" w:cs="Times New Roman"/>
                <w:sz w:val="24"/>
                <w:szCs w:val="24"/>
              </w:rPr>
              <w:t>长期以来，学校始终坚持立德树人根本使命，突出人才培养中心地位，立足“优势突出、特色鲜明、国内一流、国际知名的高水平应用型体育大学”的办学定位，大力实施人才强校、科研兴校、质量立校、特色扬校战略，充分激发办学活力，在推进高水平本科建设方面取得显著成效。</w:t>
            </w:r>
          </w:p>
          <w:p>
            <w:pPr>
              <w:spacing w:line="360" w:lineRule="auto"/>
              <w:ind w:firstLine="480" w:firstLineChars="200"/>
              <w:jc w:val="left"/>
              <w:rPr>
                <w:rFonts w:ascii="仿宋" w:hAnsi="仿宋" w:eastAsia="仿宋" w:cs="Times New Roman"/>
                <w:sz w:val="24"/>
                <w:szCs w:val="24"/>
              </w:rPr>
            </w:pPr>
            <w:r>
              <w:rPr>
                <w:rFonts w:hint="eastAsia" w:ascii="仿宋" w:hAnsi="仿宋" w:eastAsia="仿宋" w:cs="Times New Roman"/>
                <w:sz w:val="24"/>
                <w:szCs w:val="24"/>
              </w:rPr>
              <w:t>一是坚持“三全”育人原则，优化人才培养方案，以研究生教育为引领，大力实施本科教学质量提升工程，狠抓人才培养过程管理，不断创新人才培养模式，建立体育类复合应用型人才培养体系，形成多元主体协同育人机制，满足社会多元化需求。</w:t>
            </w:r>
          </w:p>
          <w:p>
            <w:pPr>
              <w:spacing w:line="360" w:lineRule="auto"/>
              <w:ind w:firstLine="480" w:firstLineChars="200"/>
              <w:jc w:val="left"/>
              <w:rPr>
                <w:rFonts w:ascii="仿宋" w:hAnsi="仿宋" w:eastAsia="仿宋" w:cs="Times New Roman"/>
                <w:sz w:val="24"/>
                <w:szCs w:val="24"/>
              </w:rPr>
            </w:pPr>
            <w:r>
              <w:rPr>
                <w:rFonts w:hint="eastAsia" w:ascii="仿宋" w:hAnsi="仿宋" w:eastAsia="仿宋" w:cs="Times New Roman"/>
                <w:sz w:val="24"/>
                <w:szCs w:val="24"/>
              </w:rPr>
              <w:t>二是围绕立德树人根本任务深化教育教学改革，加强制度体系建设，优化教学资源配置，推进信息技术与教育教学深度融合，积极探索课堂教学范式转变，实现第一课堂与第二课堂的有机衔接。先后获得国家级教学成果奖2项，省、部（国家总局）级教学成果奖14项，获批省级教改课题16项等。</w:t>
            </w:r>
          </w:p>
          <w:p>
            <w:pPr>
              <w:spacing w:line="360" w:lineRule="auto"/>
              <w:ind w:firstLine="480" w:firstLineChars="200"/>
              <w:jc w:val="left"/>
              <w:rPr>
                <w:rFonts w:ascii="仿宋" w:hAnsi="仿宋" w:eastAsia="仿宋" w:cs="Times New Roman"/>
                <w:sz w:val="24"/>
                <w:szCs w:val="24"/>
              </w:rPr>
            </w:pPr>
            <w:r>
              <w:rPr>
                <w:rFonts w:hint="eastAsia" w:ascii="仿宋" w:hAnsi="仿宋" w:eastAsia="仿宋" w:cs="Times New Roman"/>
                <w:sz w:val="24"/>
                <w:szCs w:val="24"/>
              </w:rPr>
              <w:t>三是依托我校学科优势，主动调整专业结构，加强专业内涵建设，构建了专业综合能力评价标准体系，现拥有国家级一流本科专业</w:t>
            </w:r>
            <w:r>
              <w:rPr>
                <w:rFonts w:hint="eastAsia" w:ascii="仿宋" w:hAnsi="仿宋" w:eastAsia="仿宋" w:cs="Times New Roman"/>
                <w:sz w:val="24"/>
                <w:szCs w:val="24"/>
                <w:lang w:val="en-US" w:eastAsia="zh-CN"/>
              </w:rPr>
              <w:t>3</w:t>
            </w:r>
            <w:r>
              <w:rPr>
                <w:rFonts w:hint="eastAsia" w:ascii="仿宋" w:hAnsi="仿宋" w:eastAsia="仿宋" w:cs="Times New Roman"/>
                <w:sz w:val="24"/>
                <w:szCs w:val="24"/>
              </w:rPr>
              <w:t>个，江苏省一流本科专业</w:t>
            </w:r>
            <w:r>
              <w:rPr>
                <w:rFonts w:hint="eastAsia" w:ascii="仿宋" w:hAnsi="仿宋" w:eastAsia="仿宋" w:cs="Times New Roman"/>
                <w:sz w:val="24"/>
                <w:szCs w:val="24"/>
                <w:lang w:val="en-US" w:eastAsia="zh-CN"/>
              </w:rPr>
              <w:t>11</w:t>
            </w:r>
            <w:r>
              <w:rPr>
                <w:rFonts w:hint="eastAsia" w:ascii="仿宋" w:hAnsi="仿宋" w:eastAsia="仿宋" w:cs="Times New Roman"/>
                <w:sz w:val="24"/>
                <w:szCs w:val="24"/>
              </w:rPr>
              <w:t>个，国家级特色专业建设点3个，教育部“十二五”专业综合改革试点项目2个，省“十二五”高等学校重点专业（类）2个，省高校品牌专业建设工程一期项目2个。</w:t>
            </w:r>
          </w:p>
          <w:p>
            <w:pPr>
              <w:spacing w:line="360" w:lineRule="auto"/>
              <w:ind w:firstLine="480" w:firstLineChars="200"/>
              <w:jc w:val="left"/>
              <w:rPr>
                <w:rFonts w:ascii="仿宋" w:hAnsi="仿宋" w:eastAsia="仿宋" w:cs="Times New Roman"/>
                <w:sz w:val="24"/>
                <w:szCs w:val="24"/>
              </w:rPr>
            </w:pPr>
            <w:r>
              <w:rPr>
                <w:rFonts w:hint="eastAsia" w:ascii="仿宋" w:hAnsi="仿宋" w:eastAsia="仿宋" w:cs="Times New Roman"/>
                <w:sz w:val="24"/>
                <w:szCs w:val="24"/>
              </w:rPr>
              <w:t>四是全方位推进课程体系改革，构建了以通识课程、学科基础课程为根基，专业课程为主干，选修课程为延伸的课程结构体系。大力推进优质在线开放课程建设，规范教材选用，重视教材建设，先后立项获批“十三五”普通高等教育国家级本科规划教材1部，省精品教材、优秀教材、重点教材19部。</w:t>
            </w:r>
          </w:p>
          <w:p>
            <w:pPr>
              <w:spacing w:line="360" w:lineRule="auto"/>
              <w:ind w:firstLine="480" w:firstLineChars="200"/>
              <w:jc w:val="left"/>
              <w:rPr>
                <w:rFonts w:ascii="仿宋" w:hAnsi="仿宋" w:eastAsia="仿宋" w:cs="Times New Roman"/>
                <w:sz w:val="24"/>
                <w:szCs w:val="24"/>
              </w:rPr>
            </w:pPr>
            <w:r>
              <w:rPr>
                <w:rFonts w:hint="eastAsia" w:ascii="仿宋" w:hAnsi="仿宋" w:eastAsia="仿宋" w:cs="Times New Roman"/>
                <w:sz w:val="24"/>
                <w:szCs w:val="24"/>
              </w:rPr>
              <w:t>五是以创新创业能力培养为核心，将创新创业教育与专业教育紧密结合，全方位深层次融入人才培养全过程，形成由基础实验教学平台（科学实验）、提高性实践教学平台（实习实训）和研究创新性实践平台（创新创业训练、毕业设计）共同构成的全方位的实践教学体系，突出了社会对体育类实践型人才的培养要求。</w:t>
            </w:r>
          </w:p>
          <w:p>
            <w:pPr>
              <w:spacing w:line="360" w:lineRule="auto"/>
              <w:ind w:firstLine="480" w:firstLineChars="200"/>
              <w:jc w:val="left"/>
              <w:rPr>
                <w:rFonts w:ascii="仿宋" w:hAnsi="仿宋" w:eastAsia="仿宋" w:cs="Times New Roman"/>
                <w:sz w:val="24"/>
                <w:szCs w:val="24"/>
              </w:rPr>
            </w:pPr>
            <w:r>
              <w:rPr>
                <w:rFonts w:hint="eastAsia" w:ascii="仿宋" w:hAnsi="仿宋" w:eastAsia="仿宋" w:cs="Times New Roman"/>
                <w:sz w:val="24"/>
                <w:szCs w:val="24"/>
              </w:rPr>
              <w:t>六是强化师资队伍建设，坚持“引培并举”方针，大力推进“人才强校”战略，实施了“160”高层次人才引进工程，秉持“教体融合”办学理念和特色发展之路，创新教师队伍和教练员队伍互补融合机制，师资队伍稳步增长，师资结构明显优化，教学科研水平明显提升。</w:t>
            </w:r>
          </w:p>
          <w:p>
            <w:pPr>
              <w:spacing w:line="360" w:lineRule="auto"/>
              <w:ind w:firstLine="480" w:firstLineChars="200"/>
              <w:rPr>
                <w:rFonts w:ascii="Times New Roman" w:hAnsi="Times New Roman" w:eastAsia="仿宋_GB2312" w:cs="Times New Roman"/>
                <w:sz w:val="24"/>
                <w:szCs w:val="24"/>
              </w:rPr>
            </w:pPr>
            <w:r>
              <w:rPr>
                <w:rFonts w:hint="eastAsia" w:ascii="仿宋" w:hAnsi="仿宋" w:eastAsia="仿宋" w:cs="Times New Roman"/>
                <w:sz w:val="24"/>
                <w:szCs w:val="24"/>
              </w:rPr>
              <w:t>进入新时代，南京体育学院将紧跟时代发展步伐，深入解放思想、实施“二次创业”，继续坚持“以质量求生存、以特色谋发展”的工作总思路，继续强化人才培养核心地位，认真落实立德树人根本任务，不断提高办学层次和人才培养质量，为早日建成“新南体”奠定坚实基础，为江苏省和国家的体育、教育事业发展做出新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973" w:type="dxa"/>
            <w:vMerge w:val="restart"/>
            <w:vAlign w:val="center"/>
          </w:tcPr>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学校关于本科</w:t>
            </w:r>
          </w:p>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人才培养的重要</w:t>
            </w:r>
          </w:p>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政策文件</w:t>
            </w:r>
          </w:p>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（限</w:t>
            </w:r>
            <w:r>
              <w:rPr>
                <w:rFonts w:ascii="Times New Roman" w:hAnsi="Times New Roman" w:eastAsia="仿宋_GB2312" w:cs="Times New Roman"/>
                <w:sz w:val="24"/>
                <w:szCs w:val="24"/>
              </w:rPr>
              <w:t>10项</w:t>
            </w:r>
            <w:r>
              <w:rPr>
                <w:rFonts w:hint="eastAsia" w:ascii="Times New Roman" w:hAnsi="Times New Roman" w:eastAsia="仿宋_GB2312" w:cs="Times New Roman"/>
                <w:sz w:val="24"/>
                <w:szCs w:val="24"/>
              </w:rPr>
              <w:t>）</w:t>
            </w:r>
          </w:p>
        </w:tc>
        <w:tc>
          <w:tcPr>
            <w:tcW w:w="1748" w:type="dxa"/>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序号</w:t>
            </w:r>
          </w:p>
        </w:tc>
        <w:tc>
          <w:tcPr>
            <w:tcW w:w="3362" w:type="dxa"/>
            <w:gridSpan w:val="2"/>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文件名称</w:t>
            </w:r>
          </w:p>
        </w:tc>
        <w:tc>
          <w:tcPr>
            <w:tcW w:w="1276" w:type="dxa"/>
            <w:gridSpan w:val="2"/>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印发时间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973" w:type="dxa"/>
            <w:vMerge w:val="continue"/>
            <w:vAlign w:val="center"/>
          </w:tcPr>
          <w:p>
            <w:pPr>
              <w:spacing w:line="360" w:lineRule="auto"/>
              <w:jc w:val="center"/>
              <w:rPr>
                <w:rFonts w:ascii="Times New Roman" w:hAnsi="Times New Roman" w:eastAsia="仿宋_GB2312" w:cs="Times New Roman"/>
                <w:sz w:val="24"/>
                <w:szCs w:val="24"/>
              </w:rPr>
            </w:pPr>
          </w:p>
        </w:tc>
        <w:tc>
          <w:tcPr>
            <w:tcW w:w="1748" w:type="dxa"/>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ascii="Times New Roman" w:hAnsi="Times New Roman" w:eastAsia="仿宋_GB2312" w:cs="Times New Roman"/>
                <w:sz w:val="24"/>
                <w:szCs w:val="24"/>
              </w:rPr>
              <w:t>1</w:t>
            </w:r>
          </w:p>
        </w:tc>
        <w:tc>
          <w:tcPr>
            <w:tcW w:w="3362" w:type="dxa"/>
            <w:gridSpan w:val="2"/>
            <w:vAlign w:val="top"/>
          </w:tcPr>
          <w:p>
            <w:pPr>
              <w:jc w:val="left"/>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《南京体育学院“十三五”发展规划》</w:t>
            </w:r>
          </w:p>
        </w:tc>
        <w:tc>
          <w:tcPr>
            <w:tcW w:w="1276" w:type="dxa"/>
            <w:gridSpan w:val="2"/>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973" w:type="dxa"/>
            <w:vMerge w:val="continue"/>
            <w:vAlign w:val="center"/>
          </w:tcPr>
          <w:p>
            <w:pPr>
              <w:spacing w:line="360" w:lineRule="auto"/>
              <w:jc w:val="center"/>
              <w:rPr>
                <w:rFonts w:ascii="Times New Roman" w:hAnsi="Times New Roman" w:eastAsia="仿宋_GB2312" w:cs="Times New Roman"/>
                <w:sz w:val="24"/>
                <w:szCs w:val="24"/>
              </w:rPr>
            </w:pPr>
          </w:p>
        </w:tc>
        <w:tc>
          <w:tcPr>
            <w:tcW w:w="1748" w:type="dxa"/>
            <w:vAlign w:val="center"/>
          </w:tcPr>
          <w:p>
            <w:pPr>
              <w:spacing w:line="360" w:lineRule="auto"/>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2</w:t>
            </w:r>
          </w:p>
        </w:tc>
        <w:tc>
          <w:tcPr>
            <w:tcW w:w="3362" w:type="dxa"/>
            <w:gridSpan w:val="2"/>
            <w:vAlign w:val="top"/>
          </w:tcPr>
          <w:p>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南京体育学院关于本科教育高质量发展的实施意见</w:t>
            </w:r>
          </w:p>
        </w:tc>
        <w:tc>
          <w:tcPr>
            <w:tcW w:w="1276" w:type="dxa"/>
            <w:gridSpan w:val="2"/>
            <w:vAlign w:val="center"/>
          </w:tcPr>
          <w:p>
            <w:pPr>
              <w:spacing w:line="360" w:lineRule="auto"/>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973" w:type="dxa"/>
            <w:vMerge w:val="continue"/>
            <w:vAlign w:val="center"/>
          </w:tcPr>
          <w:p>
            <w:pPr>
              <w:spacing w:line="360" w:lineRule="auto"/>
              <w:jc w:val="center"/>
              <w:rPr>
                <w:rFonts w:ascii="Times New Roman" w:hAnsi="Times New Roman" w:eastAsia="仿宋_GB2312" w:cs="Times New Roman"/>
                <w:sz w:val="24"/>
                <w:szCs w:val="24"/>
              </w:rPr>
            </w:pPr>
          </w:p>
        </w:tc>
        <w:tc>
          <w:tcPr>
            <w:tcW w:w="1748" w:type="dxa"/>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3</w:t>
            </w:r>
          </w:p>
        </w:tc>
        <w:tc>
          <w:tcPr>
            <w:tcW w:w="3362" w:type="dxa"/>
            <w:gridSpan w:val="2"/>
            <w:vAlign w:val="top"/>
          </w:tcPr>
          <w:p>
            <w:pPr>
              <w:jc w:val="left"/>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《南京体育学院人才队伍建设“十三五”规划（2016-2020）》</w:t>
            </w:r>
          </w:p>
        </w:tc>
        <w:tc>
          <w:tcPr>
            <w:tcW w:w="1276" w:type="dxa"/>
            <w:gridSpan w:val="2"/>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0" w:type="auto"/>
          </w:tcPr>
          <w:p>
            <w:pPr>
              <w:spacing w:line="360" w:lineRule="auto"/>
              <w:jc w:val="center"/>
              <w:rPr>
                <w:rFonts w:ascii="Times New Roman" w:hAnsi="Times New Roman" w:eastAsia="仿宋_GB2312" w:cs="Times New Roman"/>
                <w:sz w:val="24"/>
                <w:szCs w:val="24"/>
              </w:rPr>
            </w:pPr>
          </w:p>
        </w:tc>
        <w:tc>
          <w:tcPr>
            <w:tcW w:w="0" w:type="auto"/>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4</w:t>
            </w:r>
          </w:p>
        </w:tc>
        <w:tc>
          <w:tcPr>
            <w:tcW w:w="0" w:type="auto"/>
            <w:gridSpan w:val="2"/>
            <w:vAlign w:val="top"/>
          </w:tcPr>
          <w:p>
            <w:pPr>
              <w:jc w:val="left"/>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《南京体育学院“十三五”本科专业建设与发展规划（2016-2020）》</w:t>
            </w:r>
          </w:p>
        </w:tc>
        <w:tc>
          <w:tcPr>
            <w:tcW w:w="0" w:type="auto"/>
            <w:gridSpan w:val="2"/>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0" w:type="auto"/>
          </w:tcPr>
          <w:p>
            <w:pPr>
              <w:spacing w:line="360" w:lineRule="auto"/>
              <w:jc w:val="center"/>
              <w:rPr>
                <w:rFonts w:ascii="Times New Roman" w:hAnsi="Times New Roman" w:eastAsia="仿宋_GB2312" w:cs="Times New Roman"/>
                <w:sz w:val="24"/>
                <w:szCs w:val="24"/>
              </w:rPr>
            </w:pPr>
          </w:p>
        </w:tc>
        <w:tc>
          <w:tcPr>
            <w:tcW w:w="0" w:type="auto"/>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5</w:t>
            </w:r>
          </w:p>
        </w:tc>
        <w:tc>
          <w:tcPr>
            <w:tcW w:w="0" w:type="auto"/>
            <w:gridSpan w:val="2"/>
            <w:vAlign w:val="top"/>
          </w:tcPr>
          <w:p>
            <w:pPr>
              <w:jc w:val="left"/>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《南京体育学院本科教学指导委员会章程》</w:t>
            </w:r>
          </w:p>
        </w:tc>
        <w:tc>
          <w:tcPr>
            <w:tcW w:w="0" w:type="auto"/>
            <w:gridSpan w:val="2"/>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0" w:type="auto"/>
          </w:tcPr>
          <w:p>
            <w:pPr>
              <w:spacing w:line="360" w:lineRule="auto"/>
              <w:jc w:val="center"/>
              <w:rPr>
                <w:rFonts w:ascii="Times New Roman" w:hAnsi="Times New Roman" w:eastAsia="仿宋_GB2312" w:cs="Times New Roman"/>
                <w:sz w:val="24"/>
                <w:szCs w:val="24"/>
              </w:rPr>
            </w:pPr>
          </w:p>
        </w:tc>
        <w:tc>
          <w:tcPr>
            <w:tcW w:w="0" w:type="auto"/>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6</w:t>
            </w:r>
          </w:p>
        </w:tc>
        <w:tc>
          <w:tcPr>
            <w:tcW w:w="0" w:type="auto"/>
            <w:gridSpan w:val="2"/>
            <w:vAlign w:val="top"/>
          </w:tcPr>
          <w:p>
            <w:pPr>
              <w:jc w:val="left"/>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南京体育学院关于巩固教学工作中心地位的意见（试行）》</w:t>
            </w:r>
          </w:p>
        </w:tc>
        <w:tc>
          <w:tcPr>
            <w:tcW w:w="0" w:type="auto"/>
            <w:gridSpan w:val="2"/>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0" w:type="auto"/>
          </w:tcPr>
          <w:p>
            <w:pPr>
              <w:spacing w:line="360" w:lineRule="auto"/>
              <w:jc w:val="center"/>
              <w:rPr>
                <w:rFonts w:ascii="Times New Roman" w:hAnsi="Times New Roman" w:eastAsia="仿宋_GB2312" w:cs="Times New Roman"/>
                <w:sz w:val="24"/>
                <w:szCs w:val="24"/>
              </w:rPr>
            </w:pPr>
          </w:p>
        </w:tc>
        <w:tc>
          <w:tcPr>
            <w:tcW w:w="0" w:type="auto"/>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7</w:t>
            </w:r>
          </w:p>
        </w:tc>
        <w:tc>
          <w:tcPr>
            <w:tcW w:w="0" w:type="auto"/>
            <w:gridSpan w:val="2"/>
            <w:vAlign w:val="top"/>
          </w:tcPr>
          <w:p>
            <w:pPr>
              <w:jc w:val="left"/>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《南京体育学院本科教学奖励办法》</w:t>
            </w:r>
          </w:p>
        </w:tc>
        <w:tc>
          <w:tcPr>
            <w:tcW w:w="0" w:type="auto"/>
            <w:gridSpan w:val="2"/>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0" w:type="auto"/>
          </w:tcPr>
          <w:p>
            <w:pPr>
              <w:spacing w:line="360" w:lineRule="auto"/>
              <w:jc w:val="center"/>
              <w:rPr>
                <w:rFonts w:ascii="Times New Roman" w:hAnsi="Times New Roman" w:eastAsia="仿宋_GB2312" w:cs="Times New Roman"/>
                <w:sz w:val="24"/>
                <w:szCs w:val="24"/>
              </w:rPr>
            </w:pPr>
          </w:p>
        </w:tc>
        <w:tc>
          <w:tcPr>
            <w:tcW w:w="0" w:type="auto"/>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8</w:t>
            </w:r>
          </w:p>
        </w:tc>
        <w:tc>
          <w:tcPr>
            <w:tcW w:w="0" w:type="auto"/>
            <w:gridSpan w:val="2"/>
            <w:vAlign w:val="top"/>
          </w:tcPr>
          <w:p>
            <w:pPr>
              <w:jc w:val="left"/>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《南京体育学院深化创新创业教育改革实施方案（暂行）》</w:t>
            </w:r>
          </w:p>
        </w:tc>
        <w:tc>
          <w:tcPr>
            <w:tcW w:w="0" w:type="auto"/>
            <w:gridSpan w:val="2"/>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0" w:type="auto"/>
          </w:tcPr>
          <w:p>
            <w:pPr>
              <w:spacing w:line="360" w:lineRule="auto"/>
              <w:jc w:val="center"/>
              <w:rPr>
                <w:rFonts w:ascii="Times New Roman" w:hAnsi="Times New Roman" w:eastAsia="仿宋_GB2312" w:cs="Times New Roman"/>
                <w:sz w:val="24"/>
                <w:szCs w:val="24"/>
              </w:rPr>
            </w:pPr>
          </w:p>
        </w:tc>
        <w:tc>
          <w:tcPr>
            <w:tcW w:w="0" w:type="auto"/>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9</w:t>
            </w:r>
          </w:p>
        </w:tc>
        <w:tc>
          <w:tcPr>
            <w:tcW w:w="0" w:type="auto"/>
            <w:gridSpan w:val="2"/>
            <w:vAlign w:val="top"/>
          </w:tcPr>
          <w:p>
            <w:pPr>
              <w:jc w:val="left"/>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《南京体育学院本科教学质量保障体系实施方案》</w:t>
            </w:r>
          </w:p>
        </w:tc>
        <w:tc>
          <w:tcPr>
            <w:tcW w:w="0" w:type="auto"/>
            <w:gridSpan w:val="2"/>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0" w:type="auto"/>
          </w:tcPr>
          <w:p>
            <w:pPr>
              <w:spacing w:line="360" w:lineRule="auto"/>
              <w:jc w:val="center"/>
              <w:rPr>
                <w:rFonts w:ascii="Times New Roman" w:hAnsi="Times New Roman" w:eastAsia="仿宋_GB2312" w:cs="Times New Roman"/>
                <w:sz w:val="24"/>
                <w:szCs w:val="24"/>
              </w:rPr>
            </w:pPr>
          </w:p>
        </w:tc>
        <w:tc>
          <w:tcPr>
            <w:tcW w:w="0" w:type="auto"/>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10</w:t>
            </w:r>
          </w:p>
        </w:tc>
        <w:tc>
          <w:tcPr>
            <w:tcW w:w="0" w:type="auto"/>
            <w:gridSpan w:val="2"/>
            <w:vAlign w:val="top"/>
          </w:tcPr>
          <w:p>
            <w:pPr>
              <w:jc w:val="left"/>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《南京体育学院关于加强人才队伍建设工作的实施意见》</w:t>
            </w:r>
          </w:p>
        </w:tc>
        <w:tc>
          <w:tcPr>
            <w:tcW w:w="0" w:type="auto"/>
            <w:gridSpan w:val="2"/>
            <w:vAlign w:val="center"/>
          </w:tcPr>
          <w:p>
            <w:pPr>
              <w:spacing w:line="360" w:lineRule="auto"/>
              <w:jc w:val="center"/>
              <w:rPr>
                <w:rFonts w:ascii="Times New Roman" w:hAnsi="Times New Roman" w:eastAsia="仿宋_GB2312" w:cstheme="minorBidi"/>
                <w:kern w:val="2"/>
                <w:sz w:val="24"/>
                <w:szCs w:val="24"/>
                <w:lang w:val="en-US" w:eastAsia="zh-CN" w:bidi="ar-SA"/>
              </w:rPr>
            </w:pPr>
            <w:r>
              <w:rPr>
                <w:rFonts w:hint="eastAsia" w:ascii="Times New Roman" w:hAnsi="Times New Roman" w:eastAsia="仿宋_GB2312" w:cs="Times New Roman"/>
                <w:sz w:val="24"/>
                <w:szCs w:val="24"/>
              </w:rPr>
              <w:t>2018</w:t>
            </w:r>
          </w:p>
        </w:tc>
      </w:tr>
    </w:tbl>
    <w:p>
      <w:pPr>
        <w:outlineLvl w:val="0"/>
        <w:rPr>
          <w:rFonts w:ascii="黑体" w:hAnsi="黑体" w:eastAsia="黑体" w:cs="Times New Roman"/>
          <w:bCs/>
          <w:sz w:val="32"/>
          <w:szCs w:val="32"/>
        </w:rPr>
      </w:pPr>
      <w:r>
        <w:rPr>
          <w:rFonts w:ascii="黑体" w:hAnsi="黑体" w:eastAsia="黑体" w:cs="Times New Roman"/>
          <w:sz w:val="36"/>
          <w:szCs w:val="36"/>
        </w:rPr>
        <w:br w:type="page"/>
      </w:r>
      <w:r>
        <w:rPr>
          <w:rFonts w:hint="eastAsia" w:ascii="黑体" w:hAnsi="黑体" w:eastAsia="黑体" w:cs="Times New Roman"/>
          <w:sz w:val="32"/>
          <w:szCs w:val="32"/>
        </w:rPr>
        <w:t>二、</w:t>
      </w:r>
      <w:r>
        <w:rPr>
          <w:rFonts w:hint="eastAsia" w:ascii="黑体" w:hAnsi="黑体" w:eastAsia="黑体" w:cs="Times New Roman"/>
          <w:bCs/>
          <w:sz w:val="32"/>
          <w:szCs w:val="32"/>
        </w:rPr>
        <w:t>报送专业情况</w:t>
      </w:r>
    </w:p>
    <w:p>
      <w:pPr>
        <w:outlineLvl w:val="1"/>
        <w:rPr>
          <w:rFonts w:ascii="楷体" w:hAnsi="楷体" w:eastAsia="楷体" w:cs="Times New Roman"/>
          <w:b/>
          <w:sz w:val="32"/>
          <w:szCs w:val="32"/>
        </w:rPr>
      </w:pPr>
      <w:r>
        <w:rPr>
          <w:rFonts w:hint="eastAsia" w:ascii="楷体" w:hAnsi="楷体" w:eastAsia="楷体" w:cs="Times New Roman"/>
          <w:b/>
          <w:sz w:val="32"/>
          <w:szCs w:val="32"/>
        </w:rPr>
        <w:t>1.专业基本情况</w:t>
      </w:r>
    </w:p>
    <w:tbl>
      <w:tblPr>
        <w:tblStyle w:val="4"/>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1735"/>
        <w:gridCol w:w="2453"/>
        <w:gridCol w:w="1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088"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专业名称</w:t>
            </w:r>
          </w:p>
        </w:tc>
        <w:tc>
          <w:tcPr>
            <w:tcW w:w="1735" w:type="dxa"/>
            <w:vAlign w:val="center"/>
          </w:tcPr>
          <w:p>
            <w:pPr>
              <w:jc w:val="center"/>
              <w:rPr>
                <w:rFonts w:ascii="Times New Roman" w:hAnsi="Times New Roman" w:eastAsia="仿宋_GB2312" w:cs="Times New Roman"/>
                <w:sz w:val="24"/>
                <w:szCs w:val="24"/>
              </w:rPr>
            </w:pPr>
          </w:p>
        </w:tc>
        <w:tc>
          <w:tcPr>
            <w:tcW w:w="2453"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专业代码</w:t>
            </w:r>
          </w:p>
        </w:tc>
        <w:tc>
          <w:tcPr>
            <w:tcW w:w="194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088"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修业年限</w:t>
            </w:r>
          </w:p>
        </w:tc>
        <w:tc>
          <w:tcPr>
            <w:tcW w:w="1735" w:type="dxa"/>
            <w:vAlign w:val="center"/>
          </w:tcPr>
          <w:p>
            <w:pPr>
              <w:jc w:val="center"/>
              <w:rPr>
                <w:rFonts w:ascii="Times New Roman" w:hAnsi="Times New Roman" w:eastAsia="仿宋_GB2312" w:cs="Times New Roman"/>
                <w:sz w:val="24"/>
                <w:szCs w:val="24"/>
              </w:rPr>
            </w:pPr>
          </w:p>
        </w:tc>
        <w:tc>
          <w:tcPr>
            <w:tcW w:w="2453"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学位授予门类</w:t>
            </w:r>
          </w:p>
        </w:tc>
        <w:tc>
          <w:tcPr>
            <w:tcW w:w="194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088"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w:t>
            </w:r>
            <w:r>
              <w:rPr>
                <w:rFonts w:ascii="Times New Roman" w:hAnsi="Times New Roman" w:eastAsia="仿宋_GB2312" w:cs="Times New Roman"/>
                <w:sz w:val="24"/>
                <w:szCs w:val="24"/>
              </w:rPr>
              <w:t>设立</w:t>
            </w:r>
            <w:r>
              <w:rPr>
                <w:rFonts w:hint="eastAsia" w:ascii="Times New Roman" w:hAnsi="Times New Roman" w:eastAsia="仿宋_GB2312" w:cs="Times New Roman"/>
                <w:sz w:val="24"/>
                <w:szCs w:val="24"/>
              </w:rPr>
              <w:t>时间</w:t>
            </w:r>
          </w:p>
        </w:tc>
        <w:tc>
          <w:tcPr>
            <w:tcW w:w="1735" w:type="dxa"/>
            <w:vAlign w:val="center"/>
          </w:tcPr>
          <w:p>
            <w:pPr>
              <w:jc w:val="center"/>
              <w:rPr>
                <w:rFonts w:ascii="Times New Roman" w:hAnsi="Times New Roman" w:eastAsia="仿宋_GB2312" w:cs="Times New Roman"/>
                <w:sz w:val="24"/>
                <w:szCs w:val="24"/>
              </w:rPr>
            </w:pPr>
          </w:p>
        </w:tc>
        <w:tc>
          <w:tcPr>
            <w:tcW w:w="2453"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所在院系名称</w:t>
            </w:r>
          </w:p>
        </w:tc>
        <w:tc>
          <w:tcPr>
            <w:tcW w:w="194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088"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专业总学分</w:t>
            </w:r>
          </w:p>
        </w:tc>
        <w:tc>
          <w:tcPr>
            <w:tcW w:w="1735" w:type="dxa"/>
            <w:vAlign w:val="center"/>
          </w:tcPr>
          <w:p>
            <w:pPr>
              <w:jc w:val="center"/>
              <w:rPr>
                <w:rFonts w:ascii="Times New Roman" w:hAnsi="Times New Roman" w:eastAsia="仿宋_GB2312" w:cs="Times New Roman"/>
                <w:sz w:val="24"/>
                <w:szCs w:val="24"/>
              </w:rPr>
            </w:pPr>
          </w:p>
        </w:tc>
        <w:tc>
          <w:tcPr>
            <w:tcW w:w="2453"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专业总学时</w:t>
            </w:r>
          </w:p>
        </w:tc>
        <w:tc>
          <w:tcPr>
            <w:tcW w:w="194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823" w:type="dxa"/>
            <w:gridSpan w:val="2"/>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实践教学环节学分占总学分比例</w:t>
            </w:r>
          </w:p>
        </w:tc>
        <w:tc>
          <w:tcPr>
            <w:tcW w:w="4394" w:type="dxa"/>
            <w:gridSpan w:val="2"/>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823" w:type="dxa"/>
            <w:gridSpan w:val="2"/>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本专业教授给本科生上课的比例</w:t>
            </w:r>
          </w:p>
        </w:tc>
        <w:tc>
          <w:tcPr>
            <w:tcW w:w="4394" w:type="dxa"/>
            <w:gridSpan w:val="2"/>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823" w:type="dxa"/>
            <w:gridSpan w:val="2"/>
            <w:vAlign w:val="center"/>
          </w:tcPr>
          <w:p>
            <w:pPr>
              <w:jc w:val="center"/>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是否已认定为省级一流专业建设点</w:t>
            </w:r>
          </w:p>
        </w:tc>
        <w:tc>
          <w:tcPr>
            <w:tcW w:w="4394" w:type="dxa"/>
            <w:gridSpan w:val="2"/>
            <w:vAlign w:val="center"/>
          </w:tcPr>
          <w:p>
            <w:pPr>
              <w:jc w:val="center"/>
              <w:rPr>
                <w:rFonts w:ascii="Times New Roman" w:hAnsi="Times New Roman" w:eastAsia="仿宋_GB2312" w:cs="Times New Roman"/>
                <w:sz w:val="24"/>
                <w:szCs w:val="24"/>
              </w:rPr>
            </w:pPr>
          </w:p>
        </w:tc>
      </w:tr>
    </w:tbl>
    <w:p>
      <w:pPr>
        <w:outlineLvl w:val="2"/>
        <w:rPr>
          <w:rFonts w:ascii="仿宋" w:hAnsi="仿宋" w:eastAsia="仿宋" w:cs="Times New Roman"/>
          <w:sz w:val="24"/>
          <w:szCs w:val="24"/>
        </w:rPr>
      </w:pPr>
      <w:r>
        <w:rPr>
          <w:rFonts w:ascii="仿宋" w:hAnsi="仿宋" w:eastAsia="仿宋" w:cs="Times New Roman"/>
          <w:sz w:val="24"/>
          <w:szCs w:val="24"/>
        </w:rPr>
        <w:t>注</w:t>
      </w:r>
      <w:r>
        <w:rPr>
          <w:rFonts w:hint="eastAsia" w:ascii="仿宋" w:hAnsi="仿宋" w:eastAsia="仿宋" w:cs="Times New Roman"/>
          <w:sz w:val="24"/>
          <w:szCs w:val="24"/>
        </w:rPr>
        <w:t>：以上数据填报口径为</w:t>
      </w:r>
      <w:r>
        <w:rPr>
          <w:rFonts w:ascii="仿宋" w:hAnsi="仿宋" w:eastAsia="仿宋" w:cs="Times New Roman"/>
          <w:sz w:val="24"/>
          <w:szCs w:val="24"/>
        </w:rPr>
        <w:t>2020-2021学年数据</w:t>
      </w:r>
      <w:r>
        <w:rPr>
          <w:rFonts w:hint="eastAsia" w:ascii="仿宋" w:hAnsi="仿宋" w:eastAsia="仿宋" w:cs="Times New Roman"/>
          <w:sz w:val="24"/>
          <w:szCs w:val="24"/>
        </w:rPr>
        <w:t>。</w:t>
      </w:r>
    </w:p>
    <w:p>
      <w:pPr>
        <w:outlineLvl w:val="1"/>
        <w:rPr>
          <w:rFonts w:ascii="楷体" w:hAnsi="楷体" w:eastAsia="楷体" w:cs="Times New Roman"/>
          <w:b/>
          <w:sz w:val="32"/>
          <w:szCs w:val="32"/>
        </w:rPr>
      </w:pPr>
      <w:r>
        <w:rPr>
          <w:rFonts w:hint="eastAsia" w:ascii="楷体" w:hAnsi="楷体" w:eastAsia="楷体" w:cs="Times New Roman"/>
          <w:b/>
          <w:sz w:val="32"/>
          <w:szCs w:val="32"/>
        </w:rPr>
        <w:t>2.专业负责人基本情况</w:t>
      </w:r>
    </w:p>
    <w:tbl>
      <w:tblPr>
        <w:tblStyle w:val="4"/>
        <w:tblW w:w="84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3"/>
        <w:gridCol w:w="1595"/>
        <w:gridCol w:w="1311"/>
        <w:gridCol w:w="727"/>
        <w:gridCol w:w="1747"/>
        <w:gridCol w:w="727"/>
        <w:gridCol w:w="806"/>
        <w:gridCol w:w="8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33" w:type="dxa"/>
            <w:tcBorders>
              <w:bottom w:val="single" w:color="auto" w:sz="4" w:space="0"/>
            </w:tcBorders>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姓名</w:t>
            </w:r>
          </w:p>
        </w:tc>
        <w:tc>
          <w:tcPr>
            <w:tcW w:w="1595" w:type="dxa"/>
            <w:tcBorders>
              <w:bottom w:val="single" w:color="auto" w:sz="4" w:space="0"/>
            </w:tcBorders>
            <w:vAlign w:val="center"/>
          </w:tcPr>
          <w:p>
            <w:pPr>
              <w:jc w:val="center"/>
              <w:rPr>
                <w:rFonts w:ascii="Times New Roman" w:hAnsi="Times New Roman" w:eastAsia="仿宋_GB2312" w:cs="Times New Roman"/>
                <w:sz w:val="24"/>
                <w:szCs w:val="24"/>
              </w:rPr>
            </w:pPr>
          </w:p>
        </w:tc>
        <w:tc>
          <w:tcPr>
            <w:tcW w:w="1311" w:type="dxa"/>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性别</w:t>
            </w:r>
          </w:p>
        </w:tc>
        <w:tc>
          <w:tcPr>
            <w:tcW w:w="727" w:type="dxa"/>
            <w:vAlign w:val="center"/>
          </w:tcPr>
          <w:p>
            <w:pPr>
              <w:jc w:val="center"/>
              <w:rPr>
                <w:rFonts w:ascii="Times New Roman" w:hAnsi="Times New Roman" w:eastAsia="仿宋_GB2312" w:cs="Times New Roman"/>
                <w:sz w:val="24"/>
                <w:szCs w:val="24"/>
              </w:rPr>
            </w:pPr>
          </w:p>
        </w:tc>
        <w:tc>
          <w:tcPr>
            <w:tcW w:w="1747" w:type="dxa"/>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专业技术职务</w:t>
            </w:r>
          </w:p>
        </w:tc>
        <w:tc>
          <w:tcPr>
            <w:tcW w:w="727" w:type="dxa"/>
            <w:vAlign w:val="center"/>
          </w:tcPr>
          <w:p>
            <w:pPr>
              <w:jc w:val="center"/>
              <w:rPr>
                <w:rFonts w:ascii="Times New Roman" w:hAnsi="Times New Roman" w:eastAsia="仿宋_GB2312" w:cs="Times New Roman"/>
                <w:sz w:val="24"/>
                <w:szCs w:val="24"/>
              </w:rPr>
            </w:pPr>
          </w:p>
        </w:tc>
        <w:tc>
          <w:tcPr>
            <w:tcW w:w="806" w:type="dxa"/>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学历</w:t>
            </w:r>
          </w:p>
        </w:tc>
        <w:tc>
          <w:tcPr>
            <w:tcW w:w="804" w:type="dxa"/>
            <w:vAlign w:val="center"/>
          </w:tcPr>
          <w:p>
            <w:pPr>
              <w:jc w:val="center"/>
              <w:rPr>
                <w:rFonts w:ascii="Times New Roman" w:hAnsi="Times New Roman"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33" w:type="dxa"/>
            <w:tcBorders>
              <w:top w:val="single" w:color="auto" w:sz="4" w:space="0"/>
              <w:right w:val="single" w:color="auto" w:sz="4" w:space="0"/>
            </w:tcBorders>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联系电话</w:t>
            </w:r>
          </w:p>
        </w:tc>
        <w:tc>
          <w:tcPr>
            <w:tcW w:w="15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311" w:type="dxa"/>
            <w:tcBorders>
              <w:left w:val="single" w:color="auto" w:sz="4" w:space="0"/>
            </w:tcBorders>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出生年月</w:t>
            </w:r>
          </w:p>
        </w:tc>
        <w:tc>
          <w:tcPr>
            <w:tcW w:w="727" w:type="dxa"/>
            <w:vAlign w:val="center"/>
          </w:tcPr>
          <w:p>
            <w:pPr>
              <w:jc w:val="center"/>
              <w:rPr>
                <w:rFonts w:ascii="Times New Roman" w:hAnsi="Times New Roman" w:eastAsia="仿宋_GB2312" w:cs="Times New Roman"/>
                <w:sz w:val="24"/>
                <w:szCs w:val="24"/>
              </w:rPr>
            </w:pPr>
          </w:p>
        </w:tc>
        <w:tc>
          <w:tcPr>
            <w:tcW w:w="1747" w:type="dxa"/>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行政职务</w:t>
            </w:r>
          </w:p>
        </w:tc>
        <w:tc>
          <w:tcPr>
            <w:tcW w:w="727" w:type="dxa"/>
            <w:vAlign w:val="center"/>
          </w:tcPr>
          <w:p>
            <w:pPr>
              <w:jc w:val="center"/>
              <w:rPr>
                <w:rFonts w:ascii="Times New Roman" w:hAnsi="Times New Roman" w:eastAsia="仿宋_GB2312" w:cs="Times New Roman"/>
                <w:sz w:val="24"/>
                <w:szCs w:val="24"/>
              </w:rPr>
            </w:pPr>
          </w:p>
        </w:tc>
        <w:tc>
          <w:tcPr>
            <w:tcW w:w="806"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学位</w:t>
            </w:r>
          </w:p>
        </w:tc>
        <w:tc>
          <w:tcPr>
            <w:tcW w:w="804" w:type="dxa"/>
            <w:vAlign w:val="center"/>
          </w:tcPr>
          <w:p>
            <w:pPr>
              <w:jc w:val="center"/>
              <w:rPr>
                <w:rFonts w:ascii="Times New Roman" w:hAnsi="Times New Roman"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3" w:hRule="atLeast"/>
          <w:jc w:val="center"/>
        </w:trPr>
        <w:tc>
          <w:tcPr>
            <w:tcW w:w="2328" w:type="dxa"/>
            <w:gridSpan w:val="2"/>
            <w:vAlign w:val="center"/>
          </w:tcPr>
          <w:p>
            <w:pPr>
              <w:spacing w:line="32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研究方向和近三年</w:t>
            </w:r>
          </w:p>
          <w:p>
            <w:pPr>
              <w:spacing w:line="32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主讲的本科课程</w:t>
            </w:r>
          </w:p>
        </w:tc>
        <w:tc>
          <w:tcPr>
            <w:tcW w:w="6122" w:type="dxa"/>
            <w:gridSpan w:val="6"/>
            <w:vAlign w:val="center"/>
          </w:tcPr>
          <w:p>
            <w:pPr>
              <w:jc w:val="left"/>
              <w:rPr>
                <w:rFonts w:ascii="Times New Roman" w:hAnsi="Times New Roman" w:eastAsia="仿宋_GB2312" w:cs="Times New Roman"/>
                <w:sz w:val="24"/>
                <w:szCs w:val="24"/>
              </w:rPr>
            </w:pPr>
          </w:p>
        </w:tc>
      </w:tr>
    </w:tbl>
    <w:p>
      <w:pPr>
        <w:outlineLvl w:val="1"/>
        <w:rPr>
          <w:rFonts w:ascii="楷体" w:hAnsi="楷体" w:eastAsia="楷体" w:cs="宋体"/>
          <w:b/>
          <w:kern w:val="0"/>
          <w:sz w:val="32"/>
          <w:szCs w:val="32"/>
        </w:rPr>
      </w:pPr>
      <w:r>
        <w:rPr>
          <w:rFonts w:hint="eastAsia" w:ascii="楷体" w:hAnsi="楷体" w:eastAsia="楷体" w:cs="宋体"/>
          <w:b/>
          <w:kern w:val="0"/>
          <w:sz w:val="32"/>
          <w:szCs w:val="32"/>
        </w:rPr>
        <w:t>3.近</w:t>
      </w:r>
      <w:r>
        <w:rPr>
          <w:rFonts w:ascii="楷体" w:hAnsi="楷体" w:eastAsia="楷体" w:cs="宋体"/>
          <w:b/>
          <w:kern w:val="0"/>
          <w:sz w:val="32"/>
          <w:szCs w:val="32"/>
        </w:rPr>
        <w:t>3</w:t>
      </w:r>
      <w:r>
        <w:rPr>
          <w:rFonts w:hint="eastAsia" w:ascii="楷体" w:hAnsi="楷体" w:eastAsia="楷体" w:cs="宋体"/>
          <w:b/>
          <w:kern w:val="0"/>
          <w:sz w:val="32"/>
          <w:szCs w:val="32"/>
        </w:rPr>
        <w:t>年本专业毕业生就业（升学）情况</w:t>
      </w:r>
    </w:p>
    <w:tbl>
      <w:tblPr>
        <w:tblStyle w:val="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1319"/>
        <w:gridCol w:w="1583"/>
        <w:gridCol w:w="1583"/>
        <w:gridCol w:w="1319"/>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7" w:type="dxa"/>
            <w:shd w:val="clear" w:color="auto" w:fill="auto"/>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年份</w:t>
            </w:r>
          </w:p>
        </w:tc>
        <w:tc>
          <w:tcPr>
            <w:tcW w:w="1319" w:type="dxa"/>
            <w:shd w:val="clear" w:color="auto" w:fill="auto"/>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毕业生</w:t>
            </w:r>
          </w:p>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人数</w:t>
            </w:r>
          </w:p>
        </w:tc>
        <w:tc>
          <w:tcPr>
            <w:tcW w:w="1583" w:type="dxa"/>
            <w:shd w:val="clear" w:color="auto" w:fill="auto"/>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境内升学</w:t>
            </w:r>
          </w:p>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人数</w:t>
            </w:r>
          </w:p>
        </w:tc>
        <w:tc>
          <w:tcPr>
            <w:tcW w:w="1583" w:type="dxa"/>
            <w:shd w:val="clear" w:color="auto" w:fill="auto"/>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境外升学</w:t>
            </w:r>
          </w:p>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人数</w:t>
            </w:r>
          </w:p>
        </w:tc>
        <w:tc>
          <w:tcPr>
            <w:tcW w:w="1319" w:type="dxa"/>
            <w:shd w:val="clear" w:color="auto" w:fill="auto"/>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就业人数</w:t>
            </w:r>
          </w:p>
        </w:tc>
        <w:tc>
          <w:tcPr>
            <w:tcW w:w="1621"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自主创业</w:t>
            </w:r>
          </w:p>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7" w:type="dxa"/>
            <w:shd w:val="clear" w:color="auto" w:fill="auto"/>
            <w:noWrap/>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w:t>
            </w:r>
            <w:r>
              <w:rPr>
                <w:rFonts w:ascii="Times New Roman" w:hAnsi="Times New Roman" w:eastAsia="仿宋_GB2312" w:cs="Times New Roman"/>
                <w:sz w:val="24"/>
                <w:szCs w:val="24"/>
              </w:rPr>
              <w:t>20</w:t>
            </w:r>
            <w:r>
              <w:rPr>
                <w:rFonts w:hint="eastAsia" w:ascii="Times New Roman" w:hAnsi="Times New Roman" w:eastAsia="仿宋_GB2312" w:cs="Times New Roman"/>
                <w:sz w:val="24"/>
                <w:szCs w:val="24"/>
              </w:rPr>
              <w:t>年</w:t>
            </w:r>
          </w:p>
        </w:tc>
        <w:tc>
          <w:tcPr>
            <w:tcW w:w="1319" w:type="dxa"/>
            <w:shd w:val="clear" w:color="auto" w:fill="auto"/>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319" w:type="dxa"/>
            <w:shd w:val="clear" w:color="auto" w:fill="auto"/>
            <w:noWrap/>
            <w:vAlign w:val="center"/>
          </w:tcPr>
          <w:p>
            <w:pPr>
              <w:jc w:val="center"/>
              <w:rPr>
                <w:rFonts w:ascii="Times New Roman" w:hAnsi="Times New Roman" w:eastAsia="仿宋_GB2312" w:cs="Times New Roman"/>
                <w:sz w:val="24"/>
                <w:szCs w:val="24"/>
              </w:rPr>
            </w:pPr>
          </w:p>
        </w:tc>
        <w:tc>
          <w:tcPr>
            <w:tcW w:w="162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7" w:type="dxa"/>
            <w:shd w:val="clear" w:color="auto" w:fill="auto"/>
            <w:noWrap/>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201</w:t>
            </w:r>
            <w:r>
              <w:rPr>
                <w:rFonts w:ascii="Times New Roman" w:hAnsi="Times New Roman" w:eastAsia="仿宋_GB2312" w:cs="Times New Roman"/>
                <w:sz w:val="24"/>
                <w:szCs w:val="24"/>
              </w:rPr>
              <w:t>9</w:t>
            </w:r>
            <w:r>
              <w:rPr>
                <w:rFonts w:hint="eastAsia" w:ascii="Times New Roman" w:hAnsi="Times New Roman" w:eastAsia="仿宋_GB2312" w:cs="Times New Roman"/>
                <w:sz w:val="24"/>
                <w:szCs w:val="24"/>
              </w:rPr>
              <w:t>年</w:t>
            </w:r>
          </w:p>
        </w:tc>
        <w:tc>
          <w:tcPr>
            <w:tcW w:w="1319" w:type="dxa"/>
            <w:shd w:val="clear" w:color="auto" w:fill="auto"/>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319" w:type="dxa"/>
            <w:shd w:val="clear" w:color="auto" w:fill="auto"/>
            <w:noWrap/>
            <w:vAlign w:val="center"/>
          </w:tcPr>
          <w:p>
            <w:pPr>
              <w:jc w:val="center"/>
              <w:rPr>
                <w:rFonts w:ascii="Times New Roman" w:hAnsi="Times New Roman" w:eastAsia="仿宋_GB2312" w:cs="Times New Roman"/>
                <w:sz w:val="24"/>
                <w:szCs w:val="24"/>
              </w:rPr>
            </w:pPr>
          </w:p>
        </w:tc>
        <w:tc>
          <w:tcPr>
            <w:tcW w:w="162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7" w:type="dxa"/>
            <w:shd w:val="clear" w:color="auto" w:fill="auto"/>
            <w:noWrap/>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201</w:t>
            </w:r>
            <w:r>
              <w:rPr>
                <w:rFonts w:ascii="Times New Roman" w:hAnsi="Times New Roman" w:eastAsia="仿宋_GB2312" w:cs="Times New Roman"/>
                <w:sz w:val="24"/>
                <w:szCs w:val="24"/>
              </w:rPr>
              <w:t>8</w:t>
            </w:r>
            <w:r>
              <w:rPr>
                <w:rFonts w:hint="eastAsia" w:ascii="Times New Roman" w:hAnsi="Times New Roman" w:eastAsia="仿宋_GB2312" w:cs="Times New Roman"/>
                <w:sz w:val="24"/>
                <w:szCs w:val="24"/>
              </w:rPr>
              <w:t>年</w:t>
            </w:r>
          </w:p>
        </w:tc>
        <w:tc>
          <w:tcPr>
            <w:tcW w:w="1319" w:type="dxa"/>
            <w:shd w:val="clear" w:color="auto" w:fill="auto"/>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319" w:type="dxa"/>
            <w:shd w:val="clear" w:color="auto" w:fill="auto"/>
            <w:noWrap/>
            <w:vAlign w:val="center"/>
          </w:tcPr>
          <w:p>
            <w:pPr>
              <w:jc w:val="center"/>
              <w:rPr>
                <w:rFonts w:ascii="Times New Roman" w:hAnsi="Times New Roman" w:eastAsia="仿宋_GB2312" w:cs="Times New Roman"/>
                <w:sz w:val="24"/>
                <w:szCs w:val="24"/>
              </w:rPr>
            </w:pPr>
          </w:p>
        </w:tc>
        <w:tc>
          <w:tcPr>
            <w:tcW w:w="1621" w:type="dxa"/>
            <w:vAlign w:val="center"/>
          </w:tcPr>
          <w:p>
            <w:pPr>
              <w:jc w:val="center"/>
              <w:rPr>
                <w:rFonts w:ascii="Times New Roman" w:hAnsi="Times New Roman" w:eastAsia="仿宋_GB2312" w:cs="Times New Roman"/>
                <w:sz w:val="24"/>
                <w:szCs w:val="24"/>
              </w:rPr>
            </w:pPr>
          </w:p>
        </w:tc>
      </w:tr>
    </w:tbl>
    <w:p>
      <w:pPr>
        <w:jc w:val="left"/>
        <w:outlineLvl w:val="1"/>
        <w:rPr>
          <w:rFonts w:ascii="Times New Roman" w:hAnsi="Times New Roman" w:eastAsia="宋体" w:cs="Times New Roman"/>
          <w:szCs w:val="24"/>
        </w:rPr>
      </w:pPr>
      <w:r>
        <w:rPr>
          <w:rFonts w:ascii="楷体" w:hAnsi="楷体" w:eastAsia="楷体" w:cs="宋体"/>
          <w:b/>
          <w:kern w:val="0"/>
          <w:sz w:val="32"/>
          <w:szCs w:val="32"/>
        </w:rPr>
        <w:t>4.</w:t>
      </w:r>
      <w:r>
        <w:rPr>
          <w:rFonts w:hint="eastAsia" w:ascii="楷体" w:hAnsi="楷体" w:eastAsia="楷体" w:cs="宋体"/>
          <w:b/>
          <w:kern w:val="0"/>
          <w:sz w:val="32"/>
          <w:szCs w:val="32"/>
        </w:rPr>
        <w:t>近</w:t>
      </w:r>
      <w:r>
        <w:rPr>
          <w:rFonts w:ascii="楷体" w:hAnsi="楷体" w:eastAsia="楷体" w:cs="宋体"/>
          <w:b/>
          <w:kern w:val="0"/>
          <w:sz w:val="32"/>
          <w:szCs w:val="32"/>
        </w:rPr>
        <w:t>3</w:t>
      </w:r>
      <w:r>
        <w:rPr>
          <w:rFonts w:hint="eastAsia" w:ascii="楷体" w:hAnsi="楷体" w:eastAsia="楷体" w:cs="宋体"/>
          <w:b/>
          <w:kern w:val="0"/>
          <w:sz w:val="32"/>
          <w:szCs w:val="32"/>
        </w:rPr>
        <w:t>年本专业</w:t>
      </w:r>
      <w:r>
        <w:rPr>
          <w:rFonts w:hint="eastAsia" w:ascii="楷体" w:hAnsi="楷体" w:eastAsia="楷体" w:cs="Times New Roman"/>
          <w:b/>
          <w:sz w:val="32"/>
          <w:szCs w:val="32"/>
        </w:rPr>
        <w:t>获省部级及以上奖励和支持情况</w:t>
      </w:r>
    </w:p>
    <w:tbl>
      <w:tblPr>
        <w:tblStyle w:val="4"/>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827"/>
        <w:gridCol w:w="1207"/>
        <w:gridCol w:w="1723"/>
        <w:gridCol w:w="850"/>
        <w:gridCol w:w="785"/>
        <w:gridCol w:w="1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1625"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类别</w:t>
            </w: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序号</w:t>
            </w:r>
          </w:p>
        </w:tc>
        <w:tc>
          <w:tcPr>
            <w:tcW w:w="120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项目名称</w:t>
            </w:r>
          </w:p>
        </w:tc>
        <w:tc>
          <w:tcPr>
            <w:tcW w:w="1723"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所获奖励或支持名称</w:t>
            </w:r>
          </w:p>
        </w:tc>
        <w:tc>
          <w:tcPr>
            <w:tcW w:w="850"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时间</w:t>
            </w:r>
          </w:p>
        </w:tc>
        <w:tc>
          <w:tcPr>
            <w:tcW w:w="785"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等级</w:t>
            </w:r>
          </w:p>
        </w:tc>
        <w:tc>
          <w:tcPr>
            <w:tcW w:w="1279"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授予部门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教学成果奖</w:t>
            </w: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教学团队建设</w:t>
            </w: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专业建设</w:t>
            </w: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课程</w:t>
            </w:r>
          </w:p>
        </w:tc>
        <w:tc>
          <w:tcPr>
            <w:tcW w:w="827" w:type="dxa"/>
            <w:vAlign w:val="center"/>
          </w:tcPr>
          <w:p>
            <w:pPr>
              <w:spacing w:before="62" w:beforeLines="20" w:after="62" w:afterLines="2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spacing w:before="62" w:beforeLines="20" w:after="62" w:afterLines="20"/>
              <w:rPr>
                <w:rFonts w:ascii="Times New Roman" w:hAnsi="Times New Roman" w:eastAsia="仿宋_GB2312" w:cs="Times New Roman"/>
                <w:sz w:val="24"/>
                <w:szCs w:val="24"/>
              </w:rPr>
            </w:pPr>
          </w:p>
        </w:tc>
        <w:tc>
          <w:tcPr>
            <w:tcW w:w="1723" w:type="dxa"/>
            <w:vAlign w:val="center"/>
          </w:tcPr>
          <w:p>
            <w:pPr>
              <w:spacing w:before="62" w:beforeLines="20" w:after="62" w:afterLines="2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spacing w:before="62" w:beforeLines="20" w:after="62" w:afterLines="2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spacing w:before="62" w:beforeLines="20" w:after="62" w:afterLines="20"/>
              <w:rPr>
                <w:rFonts w:ascii="Times New Roman" w:hAnsi="Times New Roman" w:eastAsia="仿宋_GB2312" w:cs="Times New Roman"/>
                <w:sz w:val="24"/>
                <w:szCs w:val="24"/>
              </w:rPr>
            </w:pPr>
          </w:p>
        </w:tc>
        <w:tc>
          <w:tcPr>
            <w:tcW w:w="1723" w:type="dxa"/>
            <w:vAlign w:val="center"/>
          </w:tcPr>
          <w:p>
            <w:pPr>
              <w:spacing w:before="62" w:beforeLines="20" w:after="62" w:afterLines="2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spacing w:before="62" w:beforeLines="20" w:after="62" w:afterLines="2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spacing w:before="62" w:beforeLines="20" w:after="62" w:afterLines="20"/>
              <w:rPr>
                <w:rFonts w:ascii="Times New Roman" w:hAnsi="Times New Roman" w:eastAsia="仿宋_GB2312" w:cs="Times New Roman"/>
                <w:sz w:val="24"/>
                <w:szCs w:val="24"/>
              </w:rPr>
            </w:pPr>
          </w:p>
        </w:tc>
        <w:tc>
          <w:tcPr>
            <w:tcW w:w="1723" w:type="dxa"/>
            <w:vAlign w:val="center"/>
          </w:tcPr>
          <w:p>
            <w:pPr>
              <w:spacing w:before="62" w:beforeLines="20" w:after="62" w:afterLines="2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教材</w:t>
            </w:r>
          </w:p>
        </w:tc>
        <w:tc>
          <w:tcPr>
            <w:tcW w:w="827" w:type="dxa"/>
            <w:vAlign w:val="center"/>
          </w:tcPr>
          <w:p>
            <w:pPr>
              <w:spacing w:before="62" w:beforeLines="20" w:after="62" w:afterLines="2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spacing w:before="62" w:beforeLines="20" w:after="62" w:afterLines="20"/>
              <w:rPr>
                <w:rFonts w:ascii="Times New Roman" w:hAnsi="Times New Roman" w:eastAsia="仿宋_GB2312" w:cs="Times New Roman"/>
                <w:sz w:val="24"/>
                <w:szCs w:val="24"/>
              </w:rPr>
            </w:pPr>
          </w:p>
        </w:tc>
        <w:tc>
          <w:tcPr>
            <w:tcW w:w="1723" w:type="dxa"/>
            <w:vAlign w:val="center"/>
          </w:tcPr>
          <w:p>
            <w:pPr>
              <w:spacing w:before="62" w:beforeLines="20" w:after="62" w:afterLines="2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spacing w:before="62" w:beforeLines="20" w:after="62" w:afterLines="2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spacing w:before="62" w:beforeLines="20" w:after="62" w:afterLines="20"/>
              <w:rPr>
                <w:rFonts w:ascii="Times New Roman" w:hAnsi="Times New Roman" w:eastAsia="仿宋_GB2312" w:cs="Times New Roman"/>
                <w:sz w:val="24"/>
                <w:szCs w:val="24"/>
              </w:rPr>
            </w:pPr>
          </w:p>
        </w:tc>
        <w:tc>
          <w:tcPr>
            <w:tcW w:w="1723" w:type="dxa"/>
            <w:vAlign w:val="center"/>
          </w:tcPr>
          <w:p>
            <w:pPr>
              <w:spacing w:before="62" w:beforeLines="20" w:after="62" w:afterLines="2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spacing w:before="62" w:beforeLines="20" w:after="62" w:afterLines="2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spacing w:before="62" w:beforeLines="20" w:after="62" w:afterLines="20"/>
              <w:rPr>
                <w:rFonts w:ascii="Times New Roman" w:hAnsi="Times New Roman" w:eastAsia="仿宋_GB2312" w:cs="Times New Roman"/>
                <w:sz w:val="24"/>
                <w:szCs w:val="24"/>
              </w:rPr>
            </w:pPr>
          </w:p>
        </w:tc>
        <w:tc>
          <w:tcPr>
            <w:tcW w:w="1723" w:type="dxa"/>
            <w:vAlign w:val="center"/>
          </w:tcPr>
          <w:p>
            <w:pPr>
              <w:spacing w:before="62" w:beforeLines="20" w:after="62" w:afterLines="2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实验和实践</w:t>
            </w:r>
          </w:p>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教学平台</w:t>
            </w: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教学改革项目</w:t>
            </w:r>
          </w:p>
        </w:tc>
        <w:tc>
          <w:tcPr>
            <w:tcW w:w="827" w:type="dxa"/>
          </w:tcPr>
          <w:p>
            <w:pPr>
              <w:spacing w:before="93" w:beforeLines="30" w:after="93"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spacing w:before="93" w:beforeLines="30" w:after="93" w:afterLines="30"/>
              <w:rPr>
                <w:rFonts w:ascii="Times New Roman" w:hAnsi="Times New Roman" w:eastAsia="仿宋_GB2312" w:cs="Times New Roman"/>
                <w:sz w:val="24"/>
                <w:szCs w:val="24"/>
              </w:rPr>
            </w:pPr>
          </w:p>
        </w:tc>
        <w:tc>
          <w:tcPr>
            <w:tcW w:w="1723" w:type="dxa"/>
            <w:vAlign w:val="center"/>
          </w:tcPr>
          <w:p>
            <w:pPr>
              <w:spacing w:before="93" w:beforeLines="30" w:after="93" w:afterLines="3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tcPr>
          <w:p>
            <w:pPr>
              <w:spacing w:before="93" w:beforeLines="30" w:after="93"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spacing w:before="93" w:beforeLines="30" w:after="93" w:afterLines="30"/>
              <w:rPr>
                <w:rFonts w:ascii="Times New Roman" w:hAnsi="Times New Roman" w:eastAsia="仿宋_GB2312" w:cs="Times New Roman"/>
                <w:sz w:val="24"/>
                <w:szCs w:val="24"/>
              </w:rPr>
            </w:pPr>
          </w:p>
        </w:tc>
        <w:tc>
          <w:tcPr>
            <w:tcW w:w="1723" w:type="dxa"/>
            <w:vAlign w:val="center"/>
          </w:tcPr>
          <w:p>
            <w:pPr>
              <w:spacing w:before="93" w:beforeLines="30" w:after="93" w:afterLines="3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restart"/>
            <w:vAlign w:val="center"/>
          </w:tcPr>
          <w:p>
            <w:pPr>
              <w:spacing w:before="93" w:beforeLines="30" w:after="93"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其他</w:t>
            </w:r>
          </w:p>
          <w:p>
            <w:pPr>
              <w:spacing w:before="93" w:beforeLines="30" w:after="93"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（限5</w:t>
            </w:r>
            <w:r>
              <w:rPr>
                <w:rFonts w:ascii="Times New Roman" w:hAnsi="Times New Roman" w:eastAsia="仿宋_GB2312" w:cs="Times New Roman"/>
                <w:sz w:val="24"/>
                <w:szCs w:val="24"/>
              </w:rPr>
              <w:t>0</w:t>
            </w:r>
            <w:r>
              <w:rPr>
                <w:rFonts w:hint="eastAsia" w:ascii="Times New Roman" w:hAnsi="Times New Roman" w:eastAsia="仿宋_GB2312" w:cs="Times New Roman"/>
                <w:sz w:val="24"/>
                <w:szCs w:val="24"/>
              </w:rPr>
              <w:t>项）</w:t>
            </w:r>
          </w:p>
        </w:tc>
        <w:tc>
          <w:tcPr>
            <w:tcW w:w="827" w:type="dxa"/>
            <w:vAlign w:val="center"/>
          </w:tcPr>
          <w:p>
            <w:pPr>
              <w:spacing w:before="93" w:beforeLines="30" w:after="93"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spacing w:before="93" w:beforeLines="30" w:after="93" w:afterLines="30"/>
              <w:rPr>
                <w:rFonts w:ascii="Times New Roman" w:hAnsi="Times New Roman" w:eastAsia="仿宋_GB2312" w:cs="Times New Roman"/>
                <w:sz w:val="24"/>
                <w:szCs w:val="24"/>
              </w:rPr>
            </w:pPr>
          </w:p>
        </w:tc>
        <w:tc>
          <w:tcPr>
            <w:tcW w:w="1723" w:type="dxa"/>
            <w:vAlign w:val="center"/>
          </w:tcPr>
          <w:p>
            <w:pPr>
              <w:spacing w:before="93" w:beforeLines="30" w:after="93" w:afterLines="30"/>
              <w:rPr>
                <w:rFonts w:ascii="Times New Roman" w:hAnsi="Times New Roman" w:eastAsia="仿宋_GB2312" w:cs="Times New Roman"/>
                <w:sz w:val="24"/>
                <w:szCs w:val="24"/>
              </w:rPr>
            </w:pPr>
          </w:p>
        </w:tc>
        <w:tc>
          <w:tcPr>
            <w:tcW w:w="850" w:type="dxa"/>
            <w:vAlign w:val="center"/>
          </w:tcPr>
          <w:p>
            <w:pPr>
              <w:spacing w:before="93" w:beforeLines="30" w:after="93" w:afterLines="30"/>
              <w:rPr>
                <w:rFonts w:ascii="Times New Roman" w:hAnsi="Times New Roman" w:eastAsia="仿宋_GB2312" w:cs="Times New Roman"/>
                <w:sz w:val="24"/>
                <w:szCs w:val="24"/>
              </w:rPr>
            </w:pPr>
          </w:p>
        </w:tc>
        <w:tc>
          <w:tcPr>
            <w:tcW w:w="785" w:type="dxa"/>
            <w:vAlign w:val="center"/>
          </w:tcPr>
          <w:p>
            <w:pPr>
              <w:spacing w:before="93" w:beforeLines="30" w:after="93" w:afterLines="30"/>
              <w:rPr>
                <w:rFonts w:ascii="Times New Roman" w:hAnsi="Times New Roman" w:eastAsia="仿宋_GB2312" w:cs="Times New Roman"/>
                <w:sz w:val="24"/>
                <w:szCs w:val="24"/>
              </w:rPr>
            </w:pPr>
          </w:p>
        </w:tc>
        <w:tc>
          <w:tcPr>
            <w:tcW w:w="1279" w:type="dxa"/>
            <w:vAlign w:val="center"/>
          </w:tcPr>
          <w:p>
            <w:pPr>
              <w:spacing w:before="93" w:beforeLines="30" w:after="93" w:afterLines="30"/>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spacing w:before="93" w:beforeLines="30" w:after="93" w:afterLines="30"/>
              <w:rPr>
                <w:rFonts w:ascii="Times New Roman" w:hAnsi="Times New Roman" w:eastAsia="仿宋_GB2312" w:cs="Times New Roman"/>
                <w:sz w:val="24"/>
                <w:szCs w:val="24"/>
              </w:rPr>
            </w:pPr>
          </w:p>
        </w:tc>
        <w:tc>
          <w:tcPr>
            <w:tcW w:w="827" w:type="dxa"/>
            <w:vAlign w:val="center"/>
          </w:tcPr>
          <w:p>
            <w:pPr>
              <w:spacing w:before="93" w:beforeLines="30" w:after="93"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spacing w:before="93" w:beforeLines="30" w:after="93" w:afterLines="30"/>
              <w:rPr>
                <w:rFonts w:ascii="Times New Roman" w:hAnsi="Times New Roman" w:eastAsia="仿宋_GB2312" w:cs="Times New Roman"/>
                <w:sz w:val="24"/>
                <w:szCs w:val="24"/>
              </w:rPr>
            </w:pPr>
          </w:p>
        </w:tc>
        <w:tc>
          <w:tcPr>
            <w:tcW w:w="1723" w:type="dxa"/>
            <w:vAlign w:val="center"/>
          </w:tcPr>
          <w:p>
            <w:pPr>
              <w:spacing w:before="93" w:beforeLines="30" w:after="93" w:afterLines="30"/>
              <w:rPr>
                <w:rFonts w:ascii="Times New Roman" w:hAnsi="Times New Roman" w:eastAsia="仿宋_GB2312" w:cs="Times New Roman"/>
                <w:sz w:val="24"/>
                <w:szCs w:val="24"/>
              </w:rPr>
            </w:pPr>
          </w:p>
        </w:tc>
        <w:tc>
          <w:tcPr>
            <w:tcW w:w="850" w:type="dxa"/>
            <w:vAlign w:val="center"/>
          </w:tcPr>
          <w:p>
            <w:pPr>
              <w:spacing w:before="93" w:beforeLines="30" w:after="93" w:afterLines="30"/>
              <w:rPr>
                <w:rFonts w:ascii="Times New Roman" w:hAnsi="Times New Roman" w:eastAsia="仿宋_GB2312" w:cs="Times New Roman"/>
                <w:sz w:val="24"/>
                <w:szCs w:val="24"/>
              </w:rPr>
            </w:pPr>
          </w:p>
        </w:tc>
        <w:tc>
          <w:tcPr>
            <w:tcW w:w="785" w:type="dxa"/>
            <w:vAlign w:val="center"/>
          </w:tcPr>
          <w:p>
            <w:pPr>
              <w:spacing w:before="93" w:beforeLines="30" w:after="93" w:afterLines="30"/>
              <w:rPr>
                <w:rFonts w:ascii="Times New Roman" w:hAnsi="Times New Roman" w:eastAsia="仿宋_GB2312" w:cs="Times New Roman"/>
                <w:sz w:val="24"/>
                <w:szCs w:val="24"/>
              </w:rPr>
            </w:pPr>
          </w:p>
        </w:tc>
        <w:tc>
          <w:tcPr>
            <w:tcW w:w="1279" w:type="dxa"/>
            <w:vAlign w:val="center"/>
          </w:tcPr>
          <w:p>
            <w:pPr>
              <w:spacing w:before="93" w:beforeLines="30" w:after="93" w:afterLines="30"/>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5" w:type="dxa"/>
            <w:vMerge w:val="continue"/>
            <w:vAlign w:val="center"/>
          </w:tcPr>
          <w:p>
            <w:pPr>
              <w:spacing w:before="93" w:beforeLines="30" w:after="93" w:afterLines="30"/>
              <w:rPr>
                <w:rFonts w:ascii="Times New Roman" w:hAnsi="Times New Roman" w:eastAsia="仿宋_GB2312" w:cs="Times New Roman"/>
                <w:sz w:val="24"/>
                <w:szCs w:val="24"/>
              </w:rPr>
            </w:pPr>
          </w:p>
        </w:tc>
        <w:tc>
          <w:tcPr>
            <w:tcW w:w="827" w:type="dxa"/>
            <w:vAlign w:val="center"/>
          </w:tcPr>
          <w:p>
            <w:pPr>
              <w:spacing w:before="93" w:beforeLines="30" w:after="93"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spacing w:before="93" w:beforeLines="30" w:after="93" w:afterLines="30"/>
              <w:rPr>
                <w:rFonts w:ascii="Times New Roman" w:hAnsi="Times New Roman" w:eastAsia="仿宋_GB2312" w:cs="Times New Roman"/>
                <w:sz w:val="24"/>
                <w:szCs w:val="24"/>
              </w:rPr>
            </w:pPr>
          </w:p>
        </w:tc>
        <w:tc>
          <w:tcPr>
            <w:tcW w:w="1723" w:type="dxa"/>
            <w:vAlign w:val="center"/>
          </w:tcPr>
          <w:p>
            <w:pPr>
              <w:spacing w:before="93" w:beforeLines="30" w:after="93" w:afterLines="30"/>
              <w:rPr>
                <w:rFonts w:ascii="Times New Roman" w:hAnsi="Times New Roman" w:eastAsia="仿宋_GB2312" w:cs="Times New Roman"/>
                <w:sz w:val="24"/>
                <w:szCs w:val="24"/>
              </w:rPr>
            </w:pPr>
          </w:p>
        </w:tc>
        <w:tc>
          <w:tcPr>
            <w:tcW w:w="850" w:type="dxa"/>
            <w:vAlign w:val="center"/>
          </w:tcPr>
          <w:p>
            <w:pPr>
              <w:spacing w:before="93" w:beforeLines="30" w:after="93" w:afterLines="30"/>
              <w:rPr>
                <w:rFonts w:ascii="Times New Roman" w:hAnsi="Times New Roman" w:eastAsia="仿宋_GB2312" w:cs="Times New Roman"/>
                <w:sz w:val="24"/>
                <w:szCs w:val="24"/>
              </w:rPr>
            </w:pPr>
          </w:p>
        </w:tc>
        <w:tc>
          <w:tcPr>
            <w:tcW w:w="785" w:type="dxa"/>
            <w:vAlign w:val="center"/>
          </w:tcPr>
          <w:p>
            <w:pPr>
              <w:spacing w:before="93" w:beforeLines="30" w:after="93" w:afterLines="30"/>
              <w:rPr>
                <w:rFonts w:ascii="Times New Roman" w:hAnsi="Times New Roman" w:eastAsia="仿宋_GB2312" w:cs="Times New Roman"/>
                <w:sz w:val="24"/>
                <w:szCs w:val="24"/>
              </w:rPr>
            </w:pPr>
          </w:p>
        </w:tc>
        <w:tc>
          <w:tcPr>
            <w:tcW w:w="1279" w:type="dxa"/>
            <w:vAlign w:val="center"/>
          </w:tcPr>
          <w:p>
            <w:pPr>
              <w:spacing w:before="93" w:beforeLines="30" w:after="93" w:afterLines="30"/>
              <w:rPr>
                <w:rFonts w:ascii="Times New Roman" w:hAnsi="Times New Roman" w:eastAsia="仿宋_GB2312" w:cs="Times New Roman"/>
                <w:sz w:val="24"/>
                <w:szCs w:val="24"/>
              </w:rPr>
            </w:pPr>
          </w:p>
        </w:tc>
      </w:tr>
    </w:tbl>
    <w:p>
      <w:pPr>
        <w:widowControl/>
        <w:tabs>
          <w:tab w:val="left" w:pos="1013"/>
        </w:tabs>
        <w:ind w:right="-197" w:rightChars="-94"/>
        <w:jc w:val="left"/>
        <w:rPr>
          <w:rFonts w:ascii="Times New Roman" w:hAnsi="Times New Roman" w:eastAsia="宋体" w:cs="Times New Roman"/>
          <w:szCs w:val="24"/>
        </w:rPr>
      </w:pPr>
    </w:p>
    <w:p>
      <w:pPr>
        <w:widowControl/>
        <w:tabs>
          <w:tab w:val="left" w:pos="1013"/>
        </w:tabs>
        <w:ind w:right="-197" w:rightChars="-94"/>
        <w:jc w:val="left"/>
        <w:rPr>
          <w:rFonts w:ascii="Times New Roman" w:hAnsi="Times New Roman" w:eastAsia="宋体" w:cs="Times New Roman"/>
          <w:szCs w:val="24"/>
        </w:rPr>
      </w:pPr>
      <w:r>
        <w:rPr>
          <w:rFonts w:hint="eastAsia" w:ascii="Times New Roman" w:hAnsi="Times New Roman" w:eastAsia="宋体" w:cs="Times New Roman"/>
          <w:szCs w:val="24"/>
        </w:rPr>
        <w:t>注：1</w:t>
      </w:r>
      <w:r>
        <w:rPr>
          <w:rFonts w:ascii="Times New Roman" w:hAnsi="Times New Roman" w:eastAsia="宋体" w:cs="Times New Roman"/>
          <w:szCs w:val="24"/>
        </w:rPr>
        <w:t>.专业建设指本专业获得省部级</w:t>
      </w:r>
      <w:r>
        <w:rPr>
          <w:rFonts w:hint="eastAsia" w:ascii="Times New Roman" w:hAnsi="Times New Roman" w:eastAsia="宋体" w:cs="Times New Roman"/>
          <w:szCs w:val="24"/>
        </w:rPr>
        <w:t>特色专业、品牌专业、一流专业等建设项目支持情况。</w:t>
      </w:r>
    </w:p>
    <w:p>
      <w:pPr>
        <w:widowControl/>
        <w:tabs>
          <w:tab w:val="left" w:pos="1013"/>
        </w:tabs>
        <w:jc w:val="left"/>
        <w:rPr>
          <w:rFonts w:ascii="Times New Roman" w:hAnsi="Times New Roman" w:eastAsia="宋体" w:cs="Times New Roman"/>
          <w:szCs w:val="24"/>
        </w:rPr>
      </w:pPr>
      <w:r>
        <w:rPr>
          <w:rFonts w:hint="eastAsia" w:ascii="Times New Roman" w:hAnsi="Times New Roman" w:eastAsia="宋体" w:cs="Times New Roman"/>
          <w:szCs w:val="24"/>
        </w:rPr>
        <w:t xml:space="preserve"> </w:t>
      </w:r>
      <w:r>
        <w:rPr>
          <w:rFonts w:ascii="Times New Roman" w:hAnsi="Times New Roman" w:eastAsia="宋体" w:cs="Times New Roman"/>
          <w:szCs w:val="24"/>
        </w:rPr>
        <w:t xml:space="preserve">   2.其他指本专业教师和学生获得的省部级及以上教育教学奖励和支持情况</w:t>
      </w:r>
      <w:r>
        <w:rPr>
          <w:rFonts w:hint="eastAsia" w:ascii="Times New Roman" w:hAnsi="Times New Roman" w:eastAsia="宋体" w:cs="Times New Roman"/>
          <w:szCs w:val="24"/>
        </w:rPr>
        <w:t>。</w:t>
      </w:r>
    </w:p>
    <w:p>
      <w:pPr>
        <w:widowControl/>
        <w:jc w:val="left"/>
        <w:outlineLvl w:val="1"/>
        <w:rPr>
          <w:rFonts w:ascii="楷体" w:hAnsi="楷体" w:eastAsia="楷体" w:cs="宋体"/>
          <w:b/>
          <w:kern w:val="0"/>
          <w:sz w:val="32"/>
          <w:szCs w:val="32"/>
        </w:rPr>
      </w:pPr>
      <w:r>
        <w:rPr>
          <w:rFonts w:ascii="Times New Roman" w:hAnsi="Times New Roman" w:eastAsia="宋体" w:cs="Times New Roman"/>
          <w:szCs w:val="24"/>
        </w:rPr>
        <w:br w:type="page"/>
      </w:r>
      <w:r>
        <w:rPr>
          <w:rFonts w:hint="eastAsia" w:ascii="楷体" w:hAnsi="楷体" w:eastAsia="楷体" w:cs="宋体"/>
          <w:b/>
          <w:kern w:val="0"/>
          <w:sz w:val="32"/>
          <w:szCs w:val="32"/>
        </w:rPr>
        <w:t>5</w:t>
      </w:r>
      <w:r>
        <w:rPr>
          <w:rFonts w:ascii="楷体" w:hAnsi="楷体" w:eastAsia="楷体" w:cs="宋体"/>
          <w:b/>
          <w:kern w:val="0"/>
          <w:sz w:val="32"/>
          <w:szCs w:val="32"/>
        </w:rPr>
        <w:t>.专业定位</w:t>
      </w:r>
      <w:r>
        <w:rPr>
          <w:rFonts w:hint="eastAsia" w:ascii="楷体" w:hAnsi="楷体" w:eastAsia="楷体" w:cs="宋体"/>
          <w:b/>
          <w:kern w:val="0"/>
          <w:sz w:val="32"/>
          <w:szCs w:val="32"/>
        </w:rPr>
        <w:t>、</w:t>
      </w:r>
      <w:r>
        <w:rPr>
          <w:rFonts w:ascii="楷体" w:hAnsi="楷体" w:eastAsia="楷体" w:cs="宋体"/>
          <w:b/>
          <w:kern w:val="0"/>
          <w:sz w:val="32"/>
          <w:szCs w:val="32"/>
        </w:rPr>
        <w:t>历史沿革和特色优势</w:t>
      </w:r>
    </w:p>
    <w:tbl>
      <w:tblPr>
        <w:tblStyle w:val="4"/>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6" w:hRule="atLeast"/>
        </w:trPr>
        <w:tc>
          <w:tcPr>
            <w:tcW w:w="8296" w:type="dxa"/>
          </w:tcPr>
          <w:p>
            <w:pPr>
              <w:spacing w:line="0" w:lineRule="atLeast"/>
              <w:jc w:val="left"/>
              <w:rPr>
                <w:rFonts w:ascii="仿宋" w:hAnsi="仿宋" w:eastAsia="仿宋" w:cs="Times New Roman"/>
                <w:bCs/>
                <w:szCs w:val="21"/>
              </w:rPr>
            </w:pPr>
            <w:r>
              <w:rPr>
                <w:rFonts w:hint="eastAsia" w:ascii="仿宋" w:hAnsi="仿宋" w:eastAsia="仿宋" w:cs="Times New Roman"/>
                <w:bCs/>
                <w:szCs w:val="21"/>
              </w:rPr>
              <w:t>（限</w:t>
            </w:r>
            <w:r>
              <w:rPr>
                <w:rFonts w:ascii="仿宋" w:hAnsi="仿宋" w:eastAsia="仿宋" w:cs="Times New Roman"/>
                <w:bCs/>
                <w:szCs w:val="21"/>
              </w:rPr>
              <w:t>500字以内</w:t>
            </w:r>
            <w:r>
              <w:rPr>
                <w:rFonts w:hint="eastAsia" w:ascii="仿宋" w:hAnsi="仿宋" w:eastAsia="仿宋" w:cs="Times New Roman"/>
                <w:bCs/>
                <w:szCs w:val="21"/>
              </w:rPr>
              <w:t>）</w:t>
            </w:r>
          </w:p>
        </w:tc>
      </w:tr>
    </w:tbl>
    <w:p>
      <w:pPr>
        <w:widowControl/>
        <w:jc w:val="left"/>
        <w:outlineLvl w:val="1"/>
        <w:rPr>
          <w:rFonts w:ascii="楷体" w:hAnsi="楷体" w:eastAsia="楷体" w:cs="宋体"/>
          <w:b/>
          <w:kern w:val="0"/>
          <w:sz w:val="32"/>
          <w:szCs w:val="32"/>
        </w:rPr>
      </w:pPr>
      <w:r>
        <w:rPr>
          <w:rFonts w:hint="eastAsia" w:ascii="楷体" w:hAnsi="楷体" w:eastAsia="楷体" w:cs="宋体"/>
          <w:b/>
          <w:kern w:val="0"/>
          <w:sz w:val="32"/>
          <w:szCs w:val="32"/>
        </w:rPr>
        <w:t>6</w:t>
      </w:r>
      <w:r>
        <w:rPr>
          <w:rFonts w:ascii="楷体" w:hAnsi="楷体" w:eastAsia="楷体" w:cs="宋体"/>
          <w:b/>
          <w:kern w:val="0"/>
          <w:sz w:val="32"/>
          <w:szCs w:val="32"/>
        </w:rPr>
        <w:t>.深化专业</w:t>
      </w:r>
      <w:r>
        <w:rPr>
          <w:rFonts w:hint="eastAsia" w:ascii="楷体" w:hAnsi="楷体" w:eastAsia="楷体" w:cs="宋体"/>
          <w:b/>
          <w:kern w:val="0"/>
          <w:sz w:val="32"/>
          <w:szCs w:val="32"/>
        </w:rPr>
        <w:t>综合</w:t>
      </w:r>
      <w:r>
        <w:rPr>
          <w:rFonts w:ascii="楷体" w:hAnsi="楷体" w:eastAsia="楷体" w:cs="宋体"/>
          <w:b/>
          <w:kern w:val="0"/>
          <w:sz w:val="32"/>
          <w:szCs w:val="32"/>
        </w:rPr>
        <w:t>改革的主要</w:t>
      </w:r>
      <w:r>
        <w:rPr>
          <w:rFonts w:hint="eastAsia" w:ascii="楷体" w:hAnsi="楷体" w:eastAsia="楷体" w:cs="宋体"/>
          <w:b/>
          <w:kern w:val="0"/>
          <w:sz w:val="32"/>
          <w:szCs w:val="32"/>
        </w:rPr>
        <w:t>举措和成效</w:t>
      </w:r>
    </w:p>
    <w:tbl>
      <w:tblPr>
        <w:tblStyle w:val="4"/>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6" w:hRule="atLeast"/>
        </w:trPr>
        <w:tc>
          <w:tcPr>
            <w:tcW w:w="8296" w:type="dxa"/>
          </w:tcPr>
          <w:p>
            <w:pPr>
              <w:spacing w:line="0" w:lineRule="atLeast"/>
              <w:jc w:val="left"/>
              <w:rPr>
                <w:rFonts w:ascii="方正小标宋_GBK" w:hAnsi="Times New Roman" w:eastAsia="仿宋_GB2312" w:cs="Times New Roman"/>
                <w:b/>
                <w:bCs/>
                <w:szCs w:val="21"/>
              </w:rPr>
            </w:pPr>
            <w:r>
              <w:rPr>
                <w:rFonts w:hint="eastAsia" w:ascii="仿宋" w:hAnsi="仿宋" w:eastAsia="仿宋" w:cs="Times New Roman"/>
                <w:bCs/>
                <w:szCs w:val="21"/>
              </w:rPr>
              <w:t>（限</w:t>
            </w:r>
            <w:r>
              <w:rPr>
                <w:rFonts w:ascii="仿宋" w:hAnsi="仿宋" w:eastAsia="仿宋" w:cs="Times New Roman"/>
                <w:bCs/>
                <w:szCs w:val="21"/>
              </w:rPr>
              <w:t>1000字以内</w:t>
            </w:r>
            <w:r>
              <w:rPr>
                <w:rFonts w:hint="eastAsia" w:ascii="仿宋" w:hAnsi="仿宋" w:eastAsia="仿宋" w:cs="Times New Roman"/>
                <w:bCs/>
                <w:szCs w:val="21"/>
              </w:rPr>
              <w:t>）</w:t>
            </w:r>
          </w:p>
        </w:tc>
      </w:tr>
    </w:tbl>
    <w:p>
      <w:pPr>
        <w:widowControl/>
        <w:jc w:val="left"/>
        <w:outlineLvl w:val="1"/>
        <w:rPr>
          <w:rFonts w:ascii="楷体" w:hAnsi="楷体" w:eastAsia="楷体" w:cs="宋体"/>
          <w:b/>
          <w:kern w:val="0"/>
          <w:sz w:val="32"/>
          <w:szCs w:val="32"/>
        </w:rPr>
      </w:pPr>
      <w:r>
        <w:rPr>
          <w:rFonts w:ascii="楷体" w:hAnsi="楷体" w:eastAsia="楷体" w:cs="宋体"/>
          <w:b/>
          <w:kern w:val="0"/>
          <w:sz w:val="32"/>
          <w:szCs w:val="32"/>
        </w:rPr>
        <w:br w:type="page"/>
      </w:r>
      <w:r>
        <w:rPr>
          <w:rFonts w:hint="eastAsia" w:ascii="楷体" w:hAnsi="楷体" w:eastAsia="楷体" w:cs="宋体"/>
          <w:b/>
          <w:kern w:val="0"/>
          <w:sz w:val="32"/>
          <w:szCs w:val="32"/>
        </w:rPr>
        <w:t>7</w:t>
      </w:r>
      <w:r>
        <w:rPr>
          <w:rFonts w:ascii="楷体" w:hAnsi="楷体" w:eastAsia="楷体" w:cs="宋体"/>
          <w:b/>
          <w:kern w:val="0"/>
          <w:sz w:val="32"/>
          <w:szCs w:val="32"/>
        </w:rPr>
        <w:t>.加强师资队伍和基层教学组织建设的主要举措及成效</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6" w:hRule="atLeast"/>
        </w:trPr>
        <w:tc>
          <w:tcPr>
            <w:tcW w:w="8522" w:type="dxa"/>
          </w:tcPr>
          <w:p>
            <w:pPr>
              <w:spacing w:line="0" w:lineRule="atLeast"/>
              <w:jc w:val="left"/>
              <w:rPr>
                <w:rFonts w:ascii="方正小标宋_GBK" w:hAnsi="Times New Roman" w:eastAsia="仿宋_GB2312" w:cs="Times New Roman"/>
                <w:b/>
                <w:bCs/>
                <w:szCs w:val="21"/>
              </w:rPr>
            </w:pPr>
            <w:r>
              <w:rPr>
                <w:rFonts w:hint="eastAsia" w:ascii="仿宋" w:hAnsi="仿宋" w:eastAsia="仿宋" w:cs="Times New Roman"/>
                <w:bCs/>
                <w:szCs w:val="21"/>
              </w:rPr>
              <w:t>（限</w:t>
            </w:r>
            <w:r>
              <w:rPr>
                <w:rFonts w:ascii="仿宋" w:hAnsi="仿宋" w:eastAsia="仿宋" w:cs="Times New Roman"/>
                <w:bCs/>
                <w:szCs w:val="21"/>
              </w:rPr>
              <w:t>500字以内</w:t>
            </w:r>
            <w:r>
              <w:rPr>
                <w:rFonts w:hint="eastAsia" w:ascii="仿宋" w:hAnsi="仿宋" w:eastAsia="仿宋" w:cs="Times New Roman"/>
                <w:bCs/>
                <w:szCs w:val="21"/>
              </w:rPr>
              <w:t>）</w:t>
            </w:r>
          </w:p>
        </w:tc>
      </w:tr>
    </w:tbl>
    <w:p>
      <w:pPr>
        <w:outlineLvl w:val="1"/>
        <w:rPr>
          <w:rFonts w:ascii="楷体" w:hAnsi="楷体" w:eastAsia="楷体" w:cs="宋体"/>
          <w:b/>
          <w:kern w:val="0"/>
          <w:sz w:val="32"/>
          <w:szCs w:val="32"/>
        </w:rPr>
      </w:pPr>
      <w:r>
        <w:rPr>
          <w:rFonts w:hint="eastAsia" w:ascii="楷体" w:hAnsi="楷体" w:eastAsia="楷体" w:cs="宋体"/>
          <w:b/>
          <w:kern w:val="0"/>
          <w:sz w:val="32"/>
          <w:szCs w:val="32"/>
        </w:rPr>
        <w:t>8.加强专业教学质量保障体系建设的主要举措和成效</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6" w:hRule="atLeast"/>
        </w:trPr>
        <w:tc>
          <w:tcPr>
            <w:tcW w:w="8522" w:type="dxa"/>
          </w:tcPr>
          <w:p>
            <w:pPr>
              <w:spacing w:line="0" w:lineRule="atLeast"/>
              <w:jc w:val="left"/>
              <w:rPr>
                <w:rFonts w:ascii="方正小标宋_GBK" w:hAnsi="Times New Roman" w:eastAsia="仿宋_GB2312" w:cs="Times New Roman"/>
                <w:b/>
                <w:bCs/>
                <w:szCs w:val="21"/>
              </w:rPr>
            </w:pPr>
            <w:r>
              <w:rPr>
                <w:rFonts w:hint="eastAsia" w:ascii="仿宋" w:hAnsi="仿宋" w:eastAsia="仿宋" w:cs="Times New Roman"/>
                <w:bCs/>
                <w:szCs w:val="21"/>
              </w:rPr>
              <w:t>（限</w:t>
            </w:r>
            <w:r>
              <w:rPr>
                <w:rFonts w:ascii="仿宋" w:hAnsi="仿宋" w:eastAsia="仿宋" w:cs="Times New Roman"/>
                <w:bCs/>
                <w:szCs w:val="21"/>
              </w:rPr>
              <w:t>500字以内</w:t>
            </w:r>
            <w:r>
              <w:rPr>
                <w:rFonts w:hint="eastAsia" w:ascii="仿宋" w:hAnsi="仿宋" w:eastAsia="仿宋" w:cs="Times New Roman"/>
                <w:bCs/>
                <w:szCs w:val="21"/>
              </w:rPr>
              <w:t>）</w:t>
            </w:r>
          </w:p>
        </w:tc>
      </w:tr>
    </w:tbl>
    <w:p>
      <w:pPr>
        <w:outlineLvl w:val="1"/>
        <w:rPr>
          <w:rFonts w:ascii="黑体" w:hAnsi="黑体" w:eastAsia="黑体" w:cs="Times New Roman"/>
          <w:sz w:val="36"/>
          <w:szCs w:val="36"/>
        </w:rPr>
      </w:pPr>
      <w:r>
        <w:rPr>
          <w:rFonts w:ascii="楷体" w:hAnsi="楷体" w:eastAsia="楷体" w:cs="宋体"/>
          <w:b/>
          <w:kern w:val="0"/>
          <w:sz w:val="32"/>
          <w:szCs w:val="32"/>
        </w:rPr>
        <w:br w:type="page"/>
      </w:r>
      <w:r>
        <w:rPr>
          <w:rFonts w:hint="eastAsia" w:ascii="楷体" w:hAnsi="楷体" w:eastAsia="楷体" w:cs="宋体"/>
          <w:b/>
          <w:kern w:val="0"/>
          <w:sz w:val="32"/>
          <w:szCs w:val="32"/>
        </w:rPr>
        <w:t>9</w:t>
      </w:r>
      <w:r>
        <w:rPr>
          <w:rFonts w:ascii="楷体" w:hAnsi="楷体" w:eastAsia="楷体" w:cs="宋体"/>
          <w:b/>
          <w:kern w:val="0"/>
          <w:sz w:val="32"/>
          <w:szCs w:val="32"/>
        </w:rPr>
        <w:t>.毕业生培养质量的跟踪调查结果和外部评价</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6" w:hRule="atLeast"/>
        </w:trPr>
        <w:tc>
          <w:tcPr>
            <w:tcW w:w="8522" w:type="dxa"/>
          </w:tcPr>
          <w:p>
            <w:pPr>
              <w:spacing w:line="0" w:lineRule="atLeast"/>
              <w:jc w:val="left"/>
              <w:rPr>
                <w:rFonts w:ascii="方正小标宋_GBK" w:hAnsi="Times New Roman" w:eastAsia="仿宋_GB2312" w:cs="Times New Roman"/>
                <w:b/>
                <w:bCs/>
                <w:szCs w:val="21"/>
              </w:rPr>
            </w:pPr>
            <w:r>
              <w:rPr>
                <w:rFonts w:hint="eastAsia" w:ascii="仿宋" w:hAnsi="仿宋" w:eastAsia="仿宋" w:cs="Times New Roman"/>
                <w:bCs/>
                <w:szCs w:val="21"/>
              </w:rPr>
              <w:t>（限</w:t>
            </w:r>
            <w:r>
              <w:rPr>
                <w:rFonts w:ascii="仿宋" w:hAnsi="仿宋" w:eastAsia="仿宋" w:cs="Times New Roman"/>
                <w:bCs/>
                <w:szCs w:val="21"/>
              </w:rPr>
              <w:t>500字以内</w:t>
            </w:r>
            <w:r>
              <w:rPr>
                <w:rFonts w:hint="eastAsia" w:ascii="仿宋" w:hAnsi="仿宋" w:eastAsia="仿宋" w:cs="Times New Roman"/>
                <w:bCs/>
                <w:szCs w:val="21"/>
              </w:rPr>
              <w:t>）</w:t>
            </w:r>
          </w:p>
        </w:tc>
      </w:tr>
    </w:tbl>
    <w:p>
      <w:pPr>
        <w:outlineLvl w:val="0"/>
        <w:rPr>
          <w:rFonts w:ascii="黑体" w:hAnsi="黑体" w:eastAsia="黑体" w:cs="Times New Roman"/>
          <w:sz w:val="36"/>
          <w:szCs w:val="36"/>
        </w:rPr>
      </w:pPr>
      <w:r>
        <w:rPr>
          <w:rFonts w:hint="eastAsia" w:ascii="黑体" w:hAnsi="黑体" w:eastAsia="黑体" w:cs="宋体"/>
          <w:b/>
          <w:kern w:val="0"/>
          <w:sz w:val="32"/>
          <w:szCs w:val="32"/>
        </w:rPr>
        <w:t>三、</w:t>
      </w:r>
      <w:r>
        <w:rPr>
          <w:rFonts w:ascii="黑体" w:hAnsi="黑体" w:eastAsia="黑体" w:cs="宋体"/>
          <w:b/>
          <w:kern w:val="0"/>
          <w:sz w:val="32"/>
          <w:szCs w:val="32"/>
        </w:rPr>
        <w:t>下一步推进专业建设和改革的主要思路</w:t>
      </w:r>
      <w:r>
        <w:rPr>
          <w:rFonts w:hint="eastAsia" w:ascii="黑体" w:hAnsi="黑体" w:eastAsia="黑体" w:cs="宋体"/>
          <w:b/>
          <w:kern w:val="0"/>
          <w:sz w:val="32"/>
          <w:szCs w:val="32"/>
        </w:rPr>
        <w:t>及</w:t>
      </w:r>
      <w:r>
        <w:rPr>
          <w:rFonts w:ascii="黑体" w:hAnsi="黑体" w:eastAsia="黑体" w:cs="宋体"/>
          <w:b/>
          <w:kern w:val="0"/>
          <w:sz w:val="32"/>
          <w:szCs w:val="32"/>
        </w:rPr>
        <w:t>举措</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9" w:hRule="atLeast"/>
        </w:trPr>
        <w:tc>
          <w:tcPr>
            <w:tcW w:w="8522" w:type="dxa"/>
          </w:tcPr>
          <w:p>
            <w:pPr>
              <w:spacing w:line="0" w:lineRule="atLeast"/>
              <w:jc w:val="left"/>
              <w:rPr>
                <w:rFonts w:ascii="方正小标宋_GBK" w:hAnsi="Times New Roman" w:eastAsia="仿宋_GB2312" w:cs="Times New Roman"/>
                <w:b/>
                <w:bCs/>
                <w:szCs w:val="21"/>
              </w:rPr>
            </w:pPr>
            <w:bookmarkStart w:id="0" w:name="_Hlk2001382"/>
            <w:r>
              <w:rPr>
                <w:rFonts w:hint="eastAsia" w:ascii="仿宋" w:hAnsi="仿宋" w:eastAsia="仿宋" w:cs="Times New Roman"/>
                <w:bCs/>
                <w:szCs w:val="21"/>
              </w:rPr>
              <w:t>（限</w:t>
            </w:r>
            <w:r>
              <w:rPr>
                <w:rFonts w:ascii="仿宋" w:hAnsi="仿宋" w:eastAsia="仿宋" w:cs="Times New Roman"/>
                <w:bCs/>
                <w:szCs w:val="21"/>
              </w:rPr>
              <w:t>800字以内</w:t>
            </w:r>
            <w:r>
              <w:rPr>
                <w:rFonts w:hint="eastAsia" w:ascii="仿宋" w:hAnsi="仿宋" w:eastAsia="仿宋" w:cs="Times New Roman"/>
                <w:bCs/>
                <w:szCs w:val="21"/>
              </w:rPr>
              <w:t>）</w:t>
            </w:r>
          </w:p>
        </w:tc>
      </w:tr>
      <w:bookmarkEnd w:id="0"/>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2282558"/>
    </w:sdtPr>
    <w:sdtContent>
      <w:p>
        <w:pPr>
          <w:pStyle w:val="2"/>
          <w:jc w:val="center"/>
        </w:pPr>
        <w:r>
          <w:fldChar w:fldCharType="begin"/>
        </w:r>
        <w:r>
          <w:instrText xml:space="preserve">PAGE   \* MERGEFORMAT</w:instrText>
        </w:r>
        <w:r>
          <w:fldChar w:fldCharType="separate"/>
        </w:r>
        <w:r>
          <w:rPr>
            <w:lang w:val="zh-CN"/>
          </w:rPr>
          <w:t>3</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F55"/>
    <w:rsid w:val="00051F85"/>
    <w:rsid w:val="000B18D0"/>
    <w:rsid w:val="001D6791"/>
    <w:rsid w:val="00281939"/>
    <w:rsid w:val="003C0E13"/>
    <w:rsid w:val="004354CA"/>
    <w:rsid w:val="00534FF6"/>
    <w:rsid w:val="0053715F"/>
    <w:rsid w:val="009E5C53"/>
    <w:rsid w:val="00AF7815"/>
    <w:rsid w:val="00B709FA"/>
    <w:rsid w:val="00BC0749"/>
    <w:rsid w:val="00BD1F55"/>
    <w:rsid w:val="00F81E7E"/>
    <w:rsid w:val="04531FA4"/>
    <w:rsid w:val="049D3B67"/>
    <w:rsid w:val="069944B5"/>
    <w:rsid w:val="09B039F5"/>
    <w:rsid w:val="0C2A7A8F"/>
    <w:rsid w:val="14257AC5"/>
    <w:rsid w:val="173C4B1A"/>
    <w:rsid w:val="23EE0865"/>
    <w:rsid w:val="29183639"/>
    <w:rsid w:val="2E9770E6"/>
    <w:rsid w:val="41CD7C17"/>
    <w:rsid w:val="5A9A6FF5"/>
    <w:rsid w:val="6A1569A8"/>
    <w:rsid w:val="6F926B42"/>
    <w:rsid w:val="77F62CFA"/>
    <w:rsid w:val="7CCC3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字符"/>
    <w:basedOn w:val="5"/>
    <w:link w:val="2"/>
    <w:qFormat/>
    <w:uiPriority w:val="99"/>
    <w:rPr>
      <w:sz w:val="18"/>
      <w:szCs w:val="18"/>
    </w:rPr>
  </w:style>
  <w:style w:type="character" w:customStyle="1" w:styleId="7">
    <w:name w:val="页眉 字符"/>
    <w:basedOn w:val="5"/>
    <w:link w:val="3"/>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Pages>
  <Words>284</Words>
  <Characters>1621</Characters>
  <Lines>13</Lines>
  <Paragraphs>3</Paragraphs>
  <TotalTime>1</TotalTime>
  <ScaleCrop>false</ScaleCrop>
  <LinksUpToDate>false</LinksUpToDate>
  <CharactersWithSpaces>1902</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2019-04-09T07:43:00Z</dcterms:created>
  <dc:creator>USER</dc:creator>
  <cp:lastModifiedBy>爱 丫丫</cp:lastModifiedBy>
  <dcterms:modified xsi:type="dcterms:W3CDTF">2021-10-29T05:40:51Z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440C9201C2444E30A92A1FE5F8596B61</vt:lpwstr>
  </property>
</Properties>
</file>